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pPr w:vertAnchor="text" w:horzAnchor="margin" w:leftFromText="180" w:rightFromText="180" w:tblpX="-9" w:tblpY="20"/>
        <w:tblOverlap w:val="never"/>
        <w:tblW w:w="920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14"/>
        <w:gridCol w:w="6795"/>
      </w:tblGrid>
      <w:tr>
        <w:trPr/>
        <w:tc>
          <w:tcPr>
            <w:tcW w:w="2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PMingLiU"/>
                <w:lang w:val="de-DE"/>
              </w:rPr>
            </w:pPr>
            <w:r>
              <w:rPr>
                <w:kern w:val="0"/>
              </w:rPr>
              <w:drawing>
                <wp:inline distT="0" distB="0" distL="0" distR="0">
                  <wp:extent cx="1047750" cy="1285875"/>
                  <wp:effectExtent l="0" t="0" r="0" b="0"/>
                  <wp:docPr id="1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spacing w:val="40"/>
                <w:kern w:val="0"/>
                <w:sz w:val="28"/>
                <w:szCs w:val="28"/>
                <w:lang w:val="ro-RO" w:eastAsia="ro-RO" w:bidi="ar-SA"/>
              </w:rPr>
              <w:t>ROMÂNIA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kern w:val="0"/>
                <w:lang w:val="ro-RO" w:eastAsia="ro-RO" w:bidi="ar-SA"/>
              </w:rPr>
              <w:t>JUDEȚUL TIMIȘ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kern w:val="0"/>
                <w:lang w:val="ro-RO" w:eastAsia="ro-RO" w:bidi="ar-SA"/>
              </w:rPr>
              <w:t>CONSILIUL LOCAL al COMUNEI SÂNPETRU MARE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b/>
                <w:kern w:val="0"/>
                <w:lang w:val="ro-RO" w:eastAsia="ro-RO" w:bidi="ar-SA"/>
              </w:rPr>
              <w:t>Jude</w:t>
            </w:r>
            <w:r>
              <w:rPr>
                <w:b/>
                <w:kern w:val="0"/>
                <w:lang w:val="ro-RO" w:eastAsia="ro-RO" w:bidi="ar-SA"/>
              </w:rPr>
              <w:t>ț</w:t>
            </w:r>
            <w:r>
              <w:rPr>
                <w:b/>
                <w:kern w:val="0"/>
                <w:lang w:val="ro-RO" w:eastAsia="ro-RO" w:bidi="ar-SA"/>
              </w:rPr>
              <w:t>ul Timi</w:t>
            </w:r>
            <w:r>
              <w:rPr>
                <w:b/>
                <w:kern w:val="0"/>
                <w:lang w:val="ro-RO" w:eastAsia="ro-RO" w:bidi="ar-SA"/>
              </w:rPr>
              <w:t>ș</w:t>
            </w:r>
            <w:r>
              <w:rPr>
                <w:b/>
                <w:kern w:val="0"/>
                <w:lang w:val="ro-RO" w:eastAsia="ro-RO" w:bidi="ar-SA"/>
              </w:rPr>
              <w:t>, 307385, Sânpetru Mare, nr.1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kern w:val="0"/>
                <w:lang w:val="ro-RO" w:eastAsia="ro-RO" w:bidi="ar-SA"/>
              </w:rPr>
            </w:pPr>
            <w:r>
              <w:rPr>
                <w:kern w:val="0"/>
                <w:lang w:val="ro-RO" w:eastAsia="ro-RO" w:bidi="ar-SA"/>
              </w:rPr>
              <w:t>C.I.F. 4483862, Telefon:0256376177;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</w:rPr>
            </w:pPr>
            <w:r>
              <w:rPr>
                <w:kern w:val="0"/>
                <w:lang w:val="ro-RO" w:eastAsia="ro-RO" w:bidi="ar-SA"/>
              </w:rPr>
              <w:t xml:space="preserve">e-mail: </w:t>
            </w:r>
            <w:hyperlink r:id="rId3">
              <w:r>
                <w:rPr>
                  <w:rStyle w:val="Hyperlink"/>
                  <w:kern w:val="0"/>
                  <w:lang w:val="ro-RO" w:eastAsia="ro-RO" w:bidi="ar-SA"/>
                </w:rPr>
                <w:t>primaria.sanpetru_mare@cjtimis</w:t>
              </w:r>
            </w:hyperlink>
            <w:r>
              <w:rPr>
                <w:rStyle w:val="Hyperlink"/>
                <w:kern w:val="0"/>
                <w:lang w:val="ro-RO" w:eastAsia="ro-RO" w:bidi="ar-SA"/>
              </w:rPr>
              <w:t>.ro</w:t>
            </w:r>
          </w:p>
        </w:tc>
      </w:tr>
    </w:tbl>
    <w:p>
      <w:pPr>
        <w:pStyle w:val="Normal"/>
        <w:ind w:start="6372"/>
        <w:jc w:val="end"/>
        <w:rPr>
          <w:b/>
          <w:lang w:val="fr-FR"/>
        </w:rPr>
      </w:pPr>
      <w:r>
        <w:rPr/>
        <w:tab/>
      </w:r>
      <w:r>
        <w:rPr>
          <w:b/>
          <w:lang w:val="ro-RO" w:eastAsia="ro-RO" w:bidi="ar-SA"/>
        </w:rPr>
        <w:t xml:space="preserve">Total consilieri :13           </w:t>
      </w:r>
    </w:p>
    <w:p>
      <w:pPr>
        <w:pStyle w:val="Normal"/>
        <w:ind w:firstLine="708" w:start="6372"/>
        <w:jc w:val="end"/>
        <w:rPr>
          <w:lang w:val="ro-RO" w:eastAsia="ro-RO" w:bidi="ar-SA"/>
        </w:rPr>
      </w:pPr>
      <w:r>
        <w:rPr>
          <w:b/>
          <w:lang w:val="ro-RO" w:eastAsia="ro-RO" w:bidi="ar-SA"/>
        </w:rPr>
        <w:t xml:space="preserve"> </w:t>
      </w:r>
      <w:r>
        <w:rPr>
          <w:b/>
          <w:lang w:val="ro-RO" w:eastAsia="ro-RO" w:bidi="ar-SA"/>
        </w:rPr>
        <w:t>Prezen</w:t>
      </w:r>
      <w:r>
        <w:rPr>
          <w:b/>
          <w:lang w:val="ro-RO" w:eastAsia="ro-RO" w:bidi="ar-SA"/>
        </w:rPr>
        <w:t>ț</w:t>
      </w:r>
      <w:r>
        <w:rPr>
          <w:b/>
          <w:lang w:val="ro-RO" w:eastAsia="ro-RO" w:bidi="ar-SA"/>
        </w:rPr>
        <w:t>i:12</w:t>
      </w:r>
    </w:p>
    <w:p>
      <w:pPr>
        <w:pStyle w:val="Normal"/>
        <w:ind w:start="6372"/>
        <w:jc w:val="end"/>
        <w:rPr>
          <w:lang w:val="ro-RO" w:eastAsia="ro-RO" w:bidi="ar-SA"/>
        </w:rPr>
      </w:pPr>
      <w:r>
        <w:rPr>
          <w:b/>
          <w:lang w:val="ro-RO" w:eastAsia="ro-RO" w:bidi="ar-SA"/>
        </w:rPr>
        <w:t xml:space="preserve">                  </w:t>
      </w:r>
      <w:r>
        <w:rPr>
          <w:b/>
          <w:lang w:val="ro-RO" w:eastAsia="ro-RO" w:bidi="ar-SA"/>
        </w:rPr>
        <w:t>Pentru :12</w:t>
      </w:r>
    </w:p>
    <w:p>
      <w:pPr>
        <w:pStyle w:val="Normal"/>
        <w:jc w:val="end"/>
        <w:rPr>
          <w:lang w:val="ro-RO" w:eastAsia="ro-RO" w:bidi="ar-SA"/>
        </w:rPr>
      </w:pPr>
      <w:r>
        <w:rPr>
          <w:b/>
          <w:lang w:val="ro-RO" w:eastAsia="ro-RO" w:bidi="ar-SA"/>
        </w:rPr>
        <w:tab/>
        <w:tab/>
        <w:tab/>
        <w:tab/>
        <w:tab/>
        <w:tab/>
        <w:tab/>
        <w:t xml:space="preserve">           </w:t>
        <w:tab/>
        <w:tab/>
        <w:t xml:space="preserve">     Împotrivă:X</w:t>
      </w:r>
    </w:p>
    <w:p>
      <w:pPr>
        <w:pStyle w:val="Normal"/>
        <w:jc w:val="end"/>
        <w:rPr>
          <w:lang w:val="ro-RO" w:eastAsia="ro-RO" w:bidi="ar-SA"/>
        </w:rPr>
      </w:pPr>
      <w:r>
        <w:rPr>
          <w:b/>
          <w:lang w:val="ro-RO" w:eastAsia="ro-RO" w:bidi="ar-SA"/>
        </w:rPr>
        <w:tab/>
        <w:tab/>
        <w:tab/>
        <w:tab/>
        <w:tab/>
        <w:tab/>
        <w:tab/>
        <w:t xml:space="preserve">             </w:t>
        <w:tab/>
        <w:tab/>
        <w:t xml:space="preserve">     Ab</w:t>
      </w:r>
      <w:r>
        <w:rPr>
          <w:b/>
          <w:lang w:val="ro-RO" w:eastAsia="ro-RO" w:bidi="ar-SA"/>
        </w:rPr>
        <w:t>ț</w:t>
      </w:r>
      <w:r>
        <w:rPr>
          <w:b/>
          <w:lang w:val="ro-RO" w:eastAsia="ro-RO" w:bidi="ar-SA"/>
        </w:rPr>
        <w:t>ineri:X</w:t>
      </w:r>
    </w:p>
    <w:p>
      <w:pPr>
        <w:pStyle w:val="Normal"/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>
      <w:pPr>
        <w:pStyle w:val="Normal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Nr.2 din </w:t>
      </w:r>
      <w:r>
        <w:rPr>
          <w:b/>
          <w:bCs/>
          <w:w w:val="105"/>
          <w:sz w:val="28"/>
          <w:szCs w:val="28"/>
          <w:lang w:val="ro-RO"/>
        </w:rPr>
        <w:t>23.01.2026</w:t>
      </w:r>
      <w:r>
        <w:rPr>
          <w:b/>
          <w:bCs/>
          <w:w w:val="105"/>
          <w:sz w:val="28"/>
          <w:szCs w:val="28"/>
        </w:rPr>
        <w:t>.</w:t>
      </w:r>
    </w:p>
    <w:p>
      <w:pPr>
        <w:pStyle w:val="Normal"/>
        <w:jc w:val="center"/>
        <w:rPr>
          <w:b/>
          <w:bCs/>
          <w:w w:val="105"/>
          <w:sz w:val="16"/>
          <w:szCs w:val="16"/>
        </w:rPr>
      </w:pPr>
      <w:r>
        <w:rPr>
          <w:b/>
          <w:bCs/>
          <w:w w:val="105"/>
          <w:sz w:val="16"/>
          <w:szCs w:val="16"/>
        </w:rPr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end="-2"/>
        <w:jc w:val="center"/>
        <w:textAlignment w:val="auto"/>
        <w:rPr>
          <w:i/>
          <w:iCs/>
        </w:rPr>
      </w:pPr>
      <w:r>
        <w:rPr>
          <w:i/>
          <w:iCs/>
          <w:lang w:val="ro-RO"/>
        </w:rPr>
        <w:t>p</w:t>
      </w:r>
      <w:r>
        <w:rPr>
          <w:i/>
          <w:iCs/>
        </w:rPr>
        <w:t>rivind</w:t>
      </w:r>
      <w:r>
        <w:rPr>
          <w:i/>
          <w:iCs/>
          <w:lang w:val="ro-RO"/>
        </w:rPr>
        <w:t xml:space="preserve"> aprobarea</w:t>
      </w:r>
      <w:r>
        <w:rPr>
          <w:i/>
          <w:iCs/>
        </w:rPr>
        <w:t xml:space="preserve"> acoperir</w:t>
      </w:r>
      <w:r>
        <w:rPr>
          <w:i/>
          <w:iCs/>
          <w:lang w:val="ro-RO"/>
        </w:rPr>
        <w:t>ii</w:t>
      </w:r>
      <w:r>
        <w:rPr>
          <w:i/>
          <w:iCs/>
        </w:rPr>
        <w:t xml:space="preserve"> definitiv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din excedentul bugetului local a deficitului pe anul 202</w:t>
      </w:r>
      <w:r>
        <w:rPr>
          <w:i/>
          <w:iCs/>
          <w:lang w:val="ro-RO"/>
        </w:rPr>
        <w:t>5</w:t>
      </w:r>
      <w:r>
        <w:rPr>
          <w:i/>
          <w:iCs/>
        </w:rPr>
        <w:t>,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end="142"/>
        <w:jc w:val="center"/>
        <w:textAlignment w:val="auto"/>
        <w:rPr>
          <w:b w:val="false"/>
          <w:bCs/>
          <w:i/>
          <w:iCs w:val="false"/>
        </w:rPr>
      </w:pPr>
      <w:r>
        <w:rPr>
          <w:i/>
          <w:iCs/>
        </w:rPr>
        <w:t>a</w:t>
      </w:r>
      <w:r>
        <w:rPr>
          <w:i/>
          <w:iCs/>
          <w:lang w:val="ro-RO"/>
        </w:rPr>
        <w:t>l</w:t>
      </w:r>
      <w:r>
        <w:rPr>
          <w:i/>
          <w:iCs/>
        </w:rPr>
        <w:t xml:space="preserve"> Comunei Sânpetru Mare, județul Timiș</w:t>
      </w:r>
      <w:r>
        <w:rPr>
          <w:i/>
          <w:iCs/>
          <w:lang w:val="ro-RO"/>
        </w:rPr>
        <w:t xml:space="preserve"> </w:t>
      </w:r>
      <w:r>
        <w:rPr>
          <w:b w:val="false"/>
          <w:bCs/>
          <w:i/>
          <w:iCs w:val="false"/>
        </w:rPr>
        <w:t xml:space="preserve">și </w:t>
      </w:r>
      <w:r>
        <w:rPr>
          <w:i/>
          <w:iCs/>
        </w:rPr>
        <w:t xml:space="preserve">efectuarea </w:t>
      </w:r>
      <w:r>
        <w:rPr>
          <w:i/>
          <w:iCs/>
          <w:lang w:val="ro-RO"/>
        </w:rPr>
        <w:t>unui</w:t>
      </w:r>
      <w:r>
        <w:rPr>
          <w:i/>
          <w:iCs/>
        </w:rPr>
        <w:t xml:space="preserve"> împrumut din</w:t>
      </w:r>
      <w:r>
        <w:rPr>
          <w:b w:val="false"/>
          <w:bCs/>
          <w:i/>
          <w:iCs w:val="false"/>
        </w:rPr>
        <w:t xml:space="preserve"> excedentul bugetului local pentru acoperir</w:t>
      </w:r>
      <w:r>
        <w:rPr>
          <w:b w:val="false"/>
          <w:bCs/>
          <w:i/>
          <w:iCs w:val="false"/>
          <w:lang w:val="ro-RO"/>
        </w:rPr>
        <w:t>ea</w:t>
      </w:r>
      <w:r>
        <w:rPr>
          <w:b w:val="false"/>
          <w:bCs/>
          <w:i/>
          <w:iCs w:val="false"/>
        </w:rPr>
        <w:t xml:space="preserve"> golului temporar de casa pe 2026</w:t>
      </w:r>
    </w:p>
    <w:p>
      <w:pPr>
        <w:pStyle w:val="Normal"/>
        <w:rPr>
          <w:bCs/>
          <w:w w:val="105"/>
        </w:rPr>
      </w:pPr>
      <w:r>
        <w:rPr>
          <w:bCs/>
          <w:w w:val="105"/>
        </w:rPr>
      </w:r>
    </w:p>
    <w:p>
      <w:pPr>
        <w:pStyle w:val="Normal"/>
        <w:ind w:firstLine="567"/>
        <w:jc w:val="both"/>
        <w:rPr>
          <w:b/>
          <w:kern w:val="2"/>
        </w:rPr>
      </w:pPr>
      <w:bookmarkStart w:id="0" w:name="_Hlk153641338"/>
      <w:r>
        <w:rPr>
          <w:bCs/>
          <w:kern w:val="2"/>
        </w:rPr>
        <w:tab/>
      </w:r>
      <w:r>
        <w:rPr>
          <w:b/>
          <w:kern w:val="2"/>
        </w:rPr>
        <w:t xml:space="preserve">Consiliul Local al Comunei SÂNPETRU MARE, județul Timiș întrunit în ședință ordinară din dată de </w:t>
      </w:r>
      <w:r>
        <w:rPr>
          <w:b/>
          <w:kern w:val="2"/>
          <w:lang w:val="ro-RO"/>
        </w:rPr>
        <w:t>23.01.2026</w:t>
      </w:r>
      <w:r>
        <w:rPr>
          <w:b/>
          <w:kern w:val="2"/>
        </w:rPr>
        <w:t>, legal constituită,</w:t>
      </w:r>
      <w:bookmarkEnd w:id="0"/>
    </w:p>
    <w:p>
      <w:pPr>
        <w:pStyle w:val="Normal"/>
        <w:rPr>
          <w:bCs/>
          <w:kern w:val="2"/>
        </w:rPr>
      </w:pPr>
      <w:r>
        <w:rPr>
          <w:bCs/>
          <w:kern w:val="2"/>
        </w:rPr>
      </w:r>
    </w:p>
    <w:p>
      <w:pPr>
        <w:pStyle w:val="Normal"/>
        <w:spacing w:lineRule="auto" w:line="276"/>
        <w:ind w:firstLine="720"/>
        <w:jc w:val="both"/>
        <w:rPr>
          <w:rFonts w:ascii="Tahoma" w:hAnsi="Tahoma" w:cs="Tahoma"/>
          <w:i/>
          <w:iCs/>
          <w:u w:val="single"/>
        </w:rPr>
      </w:pPr>
      <w:r>
        <w:rPr>
          <w:rFonts w:cs="Tahoma" w:ascii="Tahoma" w:hAnsi="Tahoma"/>
          <w:i/>
          <w:iCs/>
          <w:u w:val="single"/>
        </w:rPr>
        <w:t xml:space="preserve">Având in vedere </w:t>
      </w:r>
      <w:r>
        <w:rPr>
          <w:rFonts w:cs="Tahoma" w:ascii="Tahoma" w:hAnsi="Tahoma"/>
          <w:bCs/>
          <w:kern w:val="2"/>
          <w:u w:val="single"/>
        </w:rPr>
        <w:t>: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firstLine="567"/>
        <w:jc w:val="both"/>
        <w:outlineLvl w:val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- raportul compartimentului de specialitate nr.</w:t>
      </w:r>
      <w:r>
        <w:rPr>
          <w:rFonts w:cs="Tahoma" w:ascii="Tahoma" w:hAnsi="Tahoma"/>
          <w:kern w:val="2"/>
          <w:lang w:val="ro-RO"/>
        </w:rPr>
        <w:t>24</w:t>
      </w:r>
      <w:r>
        <w:rPr>
          <w:rFonts w:cs="Tahoma" w:ascii="Tahoma" w:hAnsi="Tahoma"/>
          <w:kern w:val="2"/>
        </w:rPr>
        <w:t>/08.01.202</w:t>
      </w:r>
      <w:r>
        <w:rPr>
          <w:rFonts w:cs="Tahoma" w:ascii="Tahoma" w:hAnsi="Tahoma"/>
          <w:kern w:val="2"/>
          <w:lang w:val="ro-RO"/>
        </w:rPr>
        <w:t>6</w:t>
      </w:r>
      <w:r>
        <w:rPr>
          <w:rFonts w:cs="Tahoma" w:ascii="Tahoma" w:hAnsi="Tahoma"/>
          <w:kern w:val="2"/>
        </w:rPr>
        <w:t xml:space="preserve">, prezentat de d-na Carmen CIOTÂRLĂ-exp.ctb., </w:t>
      </w:r>
      <w:r>
        <w:rPr>
          <w:rFonts w:cs="Tahoma" w:ascii="Tahoma" w:hAnsi="Tahoma"/>
        </w:rPr>
        <w:t xml:space="preserve">întocmit în urma comunicării de către Trezoreria Sânnicolau Mare a conturilor de execuție a bugetului local în vederea respectării metodologiei  </w:t>
      </w:r>
      <w:r>
        <w:rPr>
          <w:rStyle w:val="Strong"/>
          <w:rFonts w:cs="Tahoma" w:ascii="Tahoma" w:hAnsi="Tahoma"/>
          <w:b w:val="false"/>
        </w:rPr>
        <w:t>privind  încheierea  exercițiului bugetar al anului 202</w:t>
      </w:r>
      <w:r>
        <w:rPr>
          <w:rStyle w:val="Strong"/>
          <w:rFonts w:cs="Tahoma" w:ascii="Tahoma" w:hAnsi="Tahoma"/>
          <w:b w:val="false"/>
          <w:lang w:val="ro-RO"/>
        </w:rPr>
        <w:t>5</w:t>
      </w:r>
      <w:r>
        <w:rPr>
          <w:rFonts w:cs="Tahoma" w:ascii="Tahoma" w:hAnsi="Tahoma"/>
          <w:kern w:val="2"/>
        </w:rPr>
        <w:t>;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firstLine="567"/>
        <w:jc w:val="both"/>
        <w:outlineLvl w:val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- referatul de aprobare nr.</w:t>
      </w:r>
      <w:r>
        <w:rPr>
          <w:rFonts w:cs="Tahoma" w:ascii="Tahoma" w:hAnsi="Tahoma"/>
          <w:kern w:val="2"/>
          <w:lang w:val="ro-RO"/>
        </w:rPr>
        <w:t>25</w:t>
      </w:r>
      <w:r>
        <w:rPr>
          <w:rFonts w:cs="Tahoma" w:ascii="Tahoma" w:hAnsi="Tahoma"/>
          <w:kern w:val="2"/>
          <w:lang w:eastAsia="en-US"/>
        </w:rPr>
        <w:t>/09.01.2025, al dlui. primar PETREAN Bogdan-Marius</w:t>
      </w:r>
      <w:r>
        <w:rPr>
          <w:rFonts w:cs="Tahoma" w:ascii="Tahoma" w:hAnsi="Tahoma"/>
          <w:kern w:val="2"/>
        </w:rPr>
        <w:t>.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firstLine="567"/>
        <w:jc w:val="both"/>
        <w:outlineLvl w:val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- Dispoziția nr.1 din 08.01.202</w:t>
      </w:r>
      <w:r>
        <w:rPr>
          <w:rFonts w:cs="Tahoma" w:ascii="Tahoma" w:hAnsi="Tahoma"/>
          <w:kern w:val="2"/>
          <w:lang w:val="ro-RO"/>
        </w:rPr>
        <w:t>6</w:t>
      </w:r>
      <w:r>
        <w:rPr>
          <w:rFonts w:cs="Tahoma" w:ascii="Tahoma" w:hAnsi="Tahoma"/>
          <w:kern w:val="2"/>
        </w:rPr>
        <w:t>, a primarului Comunei Sânpetru Mare, jud. Timiș.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40" w:before="0" w:after="0"/>
        <w:ind w:firstLine="567" w:start="0"/>
        <w:contextualSpacing/>
        <w:jc w:val="both"/>
        <w:rPr>
          <w:rFonts w:ascii="Tahoma" w:hAnsi="Tahoma" w:eastAsia="Calibri" w:cs="Tahoma"/>
          <w:kern w:val="2"/>
          <w:sz w:val="24"/>
          <w:szCs w:val="24"/>
          <w:shd w:fill="FFFFFF" w:val="clear"/>
          <w:lang w:eastAsia="ar-SA"/>
        </w:rPr>
      </w:pPr>
      <w:r>
        <w:rPr>
          <w:rFonts w:eastAsia="Calibri" w:cs="Tahoma" w:ascii="Tahoma" w:hAnsi="Tahoma"/>
          <w:kern w:val="2"/>
          <w:sz w:val="24"/>
          <w:szCs w:val="24"/>
          <w:lang w:eastAsia="ar-SA"/>
        </w:rPr>
        <w:t xml:space="preserve">avizul comisiilor de specialitate al Consiliului Local al Comunei </w:t>
      </w:r>
      <w:r>
        <w:rPr>
          <w:rFonts w:cs="Tahoma" w:ascii="Tahoma" w:hAnsi="Tahoma"/>
          <w:kern w:val="2"/>
          <w:sz w:val="24"/>
          <w:szCs w:val="24"/>
        </w:rPr>
        <w:t>Sânpetru Mare</w:t>
      </w:r>
      <w:r>
        <w:rPr>
          <w:rFonts w:eastAsia="Calibri" w:cs="Tahoma" w:ascii="Tahoma" w:hAnsi="Tahoma"/>
          <w:kern w:val="2"/>
          <w:sz w:val="24"/>
          <w:szCs w:val="24"/>
          <w:lang w:eastAsia="ar-SA"/>
        </w:rPr>
        <w:t>,</w:t>
      </w:r>
      <w:r>
        <w:rPr>
          <w:rFonts w:eastAsia="Calibri" w:cs="Tahoma" w:ascii="Tahoma" w:hAnsi="Tahoma"/>
          <w:kern w:val="2"/>
          <w:sz w:val="24"/>
          <w:szCs w:val="24"/>
          <w:shd w:fill="FFFFFF" w:val="clear"/>
          <w:lang w:eastAsia="ar-SA"/>
        </w:rPr>
        <w:t> îndeplinind condiția de la art.136</w:t>
      </w:r>
      <w:r>
        <w:rPr>
          <w:rFonts w:eastAsia="Calibri" w:cs="Tahoma" w:ascii="Tahoma" w:hAnsi="Tahoma"/>
          <w:kern w:val="2"/>
          <w:sz w:val="24"/>
          <w:szCs w:val="24"/>
          <w:shd w:fill="FFFFFF" w:val="clear"/>
          <w:lang w:val="ro-RO" w:eastAsia="ar-SA"/>
        </w:rPr>
        <w:t>,</w:t>
      </w:r>
      <w:r>
        <w:rPr>
          <w:rFonts w:eastAsia="Calibri" w:cs="Tahoma" w:ascii="Tahoma" w:hAnsi="Tahoma"/>
          <w:kern w:val="2"/>
          <w:sz w:val="24"/>
          <w:szCs w:val="24"/>
          <w:shd w:fill="FFFFFF" w:val="clear"/>
          <w:lang w:eastAsia="ar-SA"/>
        </w:rPr>
        <w:t xml:space="preserve"> alin.(8)</w:t>
      </w:r>
      <w:r>
        <w:rPr>
          <w:rFonts w:eastAsia="Calibri" w:cs="Tahoma" w:ascii="Tahoma" w:hAnsi="Tahoma"/>
          <w:kern w:val="2"/>
          <w:sz w:val="24"/>
          <w:szCs w:val="24"/>
          <w:shd w:fill="FFFFFF" w:val="clear"/>
          <w:lang w:val="ro-RO" w:eastAsia="ar-SA"/>
        </w:rPr>
        <w:t>,</w:t>
      </w:r>
      <w:r>
        <w:rPr>
          <w:rFonts w:eastAsia="Calibri" w:cs="Tahoma" w:ascii="Tahoma" w:hAnsi="Tahoma"/>
          <w:kern w:val="2"/>
          <w:sz w:val="24"/>
          <w:szCs w:val="24"/>
          <w:shd w:fill="FFFFFF" w:val="clear"/>
          <w:lang w:eastAsia="ar-SA"/>
        </w:rPr>
        <w:t xml:space="preserve"> lit.c), din Ordonanța de Urgență a Guvernului nr.57/2019, privind Codul administrativ</w:t>
      </w:r>
    </w:p>
    <w:p>
      <w:pPr>
        <w:pStyle w:val="ListParagraph"/>
        <w:spacing w:before="0" w:after="0"/>
        <w:contextualSpacing/>
        <w:jc w:val="both"/>
        <w:rPr>
          <w:rFonts w:ascii="Tahoma" w:hAnsi="Tahoma" w:cs="Tahoma"/>
          <w:bCs/>
          <w:sz w:val="24"/>
          <w:szCs w:val="24"/>
          <w:u w:val="single"/>
        </w:rPr>
      </w:pPr>
      <w:r>
        <w:rPr>
          <w:rFonts w:cs="Tahoma" w:ascii="Tahoma" w:hAnsi="Tahoma"/>
          <w:sz w:val="24"/>
          <w:szCs w:val="24"/>
          <w:u w:val="single"/>
          <w:lang w:val="ro-RO"/>
        </w:rPr>
        <w:t>În conformitate cu prev</w:t>
      </w:r>
      <w:r>
        <w:rPr>
          <w:rFonts w:cs="Tahoma" w:ascii="Tahoma" w:hAnsi="Tahoma"/>
          <w:sz w:val="24"/>
          <w:szCs w:val="24"/>
          <w:u w:val="single"/>
        </w:rPr>
        <w:t>e</w:t>
      </w:r>
      <w:r>
        <w:rPr>
          <w:rFonts w:cs="Tahoma" w:ascii="Tahoma" w:hAnsi="Tahoma"/>
          <w:sz w:val="24"/>
          <w:szCs w:val="24"/>
          <w:u w:val="single"/>
          <w:lang w:val="ro-RO"/>
        </w:rPr>
        <w:t>derile:</w:t>
      </w:r>
      <w:r>
        <w:rPr>
          <w:rFonts w:cs="Tahoma" w:ascii="Tahoma" w:hAnsi="Tahoma"/>
          <w:sz w:val="24"/>
          <w:szCs w:val="24"/>
          <w:u w:val="single"/>
        </w:rPr>
        <w:t xml:space="preserve"> </w:t>
      </w:r>
    </w:p>
    <w:p>
      <w:pPr>
        <w:pStyle w:val="Heading1"/>
        <w:numPr>
          <w:ilvl w:val="0"/>
          <w:numId w:val="2"/>
        </w:numPr>
        <w:shd w:val="clear" w:color="auto" w:fill="FFFFFF"/>
        <w:spacing w:before="0" w:after="0"/>
        <w:ind w:firstLine="567" w:start="0"/>
        <w:jc w:val="both"/>
        <w:rPr>
          <w:rFonts w:ascii="Tahoma" w:hAnsi="Tahoma" w:cs="Tahoma"/>
          <w:bCs/>
          <w:kern w:val="2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 xml:space="preserve">Ordinului Ministerului Finanțelor Publice </w:t>
      </w:r>
      <w:r>
        <w:rPr>
          <w:rFonts w:cs="Tahoma" w:ascii="Tahoma" w:hAnsi="Tahoma"/>
          <w:bCs/>
          <w:kern w:val="2"/>
          <w:sz w:val="24"/>
          <w:szCs w:val="24"/>
        </w:rPr>
        <w:t>nr.</w:t>
      </w:r>
      <w:r>
        <w:rPr>
          <w:rFonts w:cs="Tahoma" w:ascii="Tahoma" w:hAnsi="Tahoma"/>
          <w:bCs/>
          <w:kern w:val="2"/>
          <w:sz w:val="24"/>
          <w:szCs w:val="24"/>
          <w:lang w:val="ro-RO"/>
        </w:rPr>
        <w:t>1983</w:t>
      </w:r>
      <w:r>
        <w:rPr>
          <w:rFonts w:cs="Tahoma" w:ascii="Tahoma" w:hAnsi="Tahoma"/>
          <w:bCs/>
          <w:kern w:val="2"/>
          <w:sz w:val="24"/>
          <w:szCs w:val="24"/>
        </w:rPr>
        <w:t>/</w:t>
      </w:r>
      <w:r>
        <w:rPr>
          <w:rFonts w:cs="Tahoma" w:ascii="Tahoma" w:hAnsi="Tahoma"/>
          <w:bCs/>
          <w:kern w:val="2"/>
          <w:sz w:val="24"/>
          <w:szCs w:val="24"/>
          <w:lang w:val="ro-RO"/>
        </w:rPr>
        <w:t>16.12.</w:t>
      </w:r>
      <w:r>
        <w:rPr>
          <w:rFonts w:cs="Tahoma" w:ascii="Tahoma" w:hAnsi="Tahoma"/>
          <w:bCs/>
          <w:kern w:val="2"/>
          <w:sz w:val="24"/>
          <w:szCs w:val="24"/>
          <w:lang w:val="ro-RO"/>
        </w:rPr>
        <w:t>2025</w:t>
      </w:r>
      <w:r>
        <w:rPr>
          <w:rFonts w:cs="Tahoma" w:ascii="Tahoma" w:hAnsi="Tahoma"/>
          <w:bCs/>
          <w:kern w:val="2"/>
          <w:sz w:val="24"/>
          <w:szCs w:val="24"/>
          <w:lang w:val="ro-RO"/>
        </w:rPr>
        <w:t>,</w:t>
      </w:r>
      <w:r>
        <w:rPr>
          <w:rFonts w:cs="Tahoma" w:ascii="Tahoma" w:hAnsi="Tahoma"/>
          <w:bCs/>
          <w:kern w:val="2"/>
          <w:sz w:val="24"/>
          <w:szCs w:val="24"/>
        </w:rPr>
        <w:t xml:space="preserve"> pentru modificarea </w:t>
      </w:r>
      <w:r>
        <w:rPr>
          <w:rFonts w:cs="Tahoma" w:ascii="Tahoma" w:hAnsi="Tahoma"/>
          <w:bCs/>
          <w:kern w:val="2"/>
          <w:sz w:val="24"/>
          <w:szCs w:val="24"/>
          <w:u w:val="single"/>
        </w:rPr>
        <w:t>Normelor metodologice</w:t>
      </w:r>
      <w:r>
        <w:rPr>
          <w:rFonts w:cs="Tahoma" w:ascii="Tahoma" w:hAnsi="Tahoma"/>
          <w:bCs/>
          <w:kern w:val="2"/>
          <w:sz w:val="24"/>
          <w:szCs w:val="24"/>
        </w:rPr>
        <w:t xml:space="preserve"> privind încheierea exerciţiului bugetar al anului </w:t>
      </w:r>
      <w:r>
        <w:rPr>
          <w:rFonts w:cs="Tahoma" w:ascii="Tahoma" w:hAnsi="Tahoma"/>
          <w:bCs/>
          <w:kern w:val="2"/>
          <w:sz w:val="24"/>
          <w:szCs w:val="24"/>
          <w:lang w:val="ro-RO"/>
        </w:rPr>
        <w:t>2025</w:t>
      </w:r>
      <w:r>
        <w:rPr>
          <w:rFonts w:cs="Tahoma" w:ascii="Tahoma" w:hAnsi="Tahoma"/>
          <w:bCs/>
          <w:kern w:val="2"/>
          <w:sz w:val="24"/>
          <w:szCs w:val="24"/>
          <w:lang w:val="ro-RO"/>
        </w:rPr>
        <w:t>.</w:t>
      </w:r>
    </w:p>
    <w:p>
      <w:pPr>
        <w:pStyle w:val="ListParagraph"/>
        <w:numPr>
          <w:ilvl w:val="0"/>
          <w:numId w:val="0"/>
        </w:numPr>
        <w:ind w:firstLineChars="233" w:start="7"/>
        <w:jc w:val="both"/>
        <w:rPr>
          <w:rStyle w:val="Strong"/>
          <w:rFonts w:ascii="Tahoma" w:hAnsi="Tahoma" w:cs="Tahoma"/>
          <w:b w:val="false"/>
          <w:bCs w:val="false"/>
          <w:sz w:val="24"/>
          <w:szCs w:val="24"/>
          <w:shd w:fill="FFFFFF" w:val="clear"/>
        </w:rPr>
      </w:pPr>
      <w:r>
        <w:rPr>
          <w:rStyle w:val="Strong"/>
          <w:rFonts w:cs="Tahoma" w:ascii="Tahoma" w:hAnsi="Tahoma"/>
          <w:b w:val="false"/>
          <w:sz w:val="24"/>
          <w:szCs w:val="24"/>
        </w:rPr>
        <w:t xml:space="preserve">Pentru respectarea prevederilor punctului 5.16.3 alin (1) lit. b) din Normele metodologice privind încheierea exercițiului bugetar al anului </w:t>
      </w:r>
      <w:r>
        <w:rPr>
          <w:rStyle w:val="Strong"/>
          <w:rFonts w:cs="Tahoma" w:ascii="Tahoma" w:hAnsi="Tahoma"/>
          <w:b w:val="false"/>
          <w:sz w:val="24"/>
          <w:szCs w:val="24"/>
          <w:lang w:val="ro-RO"/>
        </w:rPr>
        <w:t>2025</w:t>
      </w:r>
      <w:r>
        <w:rPr>
          <w:rStyle w:val="Strong"/>
          <w:rFonts w:cs="Tahoma" w:ascii="Tahoma" w:hAnsi="Tahoma"/>
          <w:b w:val="false"/>
          <w:sz w:val="24"/>
          <w:szCs w:val="24"/>
        </w:rPr>
        <w:t xml:space="preserve"> «</w:t>
      </w:r>
      <w:r>
        <w:rPr>
          <w:rFonts w:cs="Tahoma" w:ascii="Tahoma" w:hAnsi="Tahoma"/>
          <w:sz w:val="24"/>
          <w:szCs w:val="24"/>
          <w:shd w:fill="FFFFFF" w:val="clear"/>
        </w:rPr>
        <w:t xml:space="preserve">În situația în care secțiunea de funcționare și/sau secțiunea de dezvoltare înregistrează deficit, acesta se acoperă definitiv din excedentul bugetului local al anilor precedenți, până </w:t>
      </w:r>
      <w:r>
        <w:rPr>
          <w:rFonts w:cs="Tahoma" w:ascii="Tahoma" w:hAnsi="Tahoma"/>
          <w:color w:val="auto"/>
          <w:sz w:val="24"/>
          <w:szCs w:val="24"/>
          <w:shd w:fill="FFFFFF" w:val="clear"/>
        </w:rPr>
        <w:t xml:space="preserve">la data de </w:t>
      </w:r>
      <w:r>
        <w:rPr>
          <w:rFonts w:cs="Tahoma" w:ascii="Tahoma" w:hAnsi="Tahoma"/>
          <w:color w:val="auto"/>
          <w:sz w:val="24"/>
          <w:szCs w:val="24"/>
          <w:shd w:fill="FFFFFF" w:val="clear"/>
        </w:rPr>
        <w:t xml:space="preserve">13 ianuarie </w:t>
      </w:r>
      <w:r>
        <w:rPr>
          <w:rFonts w:cs="Tahoma" w:ascii="Tahoma" w:hAnsi="Tahoma"/>
          <w:color w:val="auto"/>
          <w:sz w:val="24"/>
          <w:szCs w:val="24"/>
          <w:shd w:fill="FFFFFF" w:val="clear"/>
          <w:lang w:val="ro-RO"/>
        </w:rPr>
        <w:t>2026</w:t>
      </w:r>
      <w:r>
        <w:rPr>
          <w:rFonts w:cs="Tahoma" w:ascii="Tahoma" w:hAnsi="Tahoma"/>
          <w:color w:val="auto"/>
          <w:sz w:val="24"/>
          <w:szCs w:val="24"/>
          <w:shd w:fill="FFFFFF" w:val="clear"/>
        </w:rPr>
        <w:t xml:space="preserve"> inclusiv, potrivit prevederilor </w:t>
      </w:r>
      <w:hyperlink r:id="rId4"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</w:rPr>
          <w:t>art.58</w:t>
        </w:r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  <w:lang w:val="ro-RO"/>
          </w:rPr>
          <w:t>,</w:t>
        </w:r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</w:rPr>
          <w:t xml:space="preserve"> alin.(1)</w:t>
        </w:r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  <w:lang w:val="ro-RO"/>
          </w:rPr>
          <w:t>,</w:t>
        </w:r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</w:rPr>
          <w:t xml:space="preserve"> lit.c)</w:t>
        </w:r>
      </w:hyperlink>
      <w:r>
        <w:rPr>
          <w:rFonts w:cs="Tahoma" w:ascii="Tahoma" w:hAnsi="Tahoma"/>
          <w:color w:val="auto"/>
          <w:sz w:val="24"/>
          <w:szCs w:val="24"/>
          <w:shd w:fill="FFFFFF" w:val="clear"/>
        </w:rPr>
        <w:t> sau potrivit prevederilor </w:t>
      </w:r>
      <w:hyperlink r:id="rId5"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</w:rPr>
          <w:t>art.58</w:t>
        </w:r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  <w:lang w:val="ro-RO"/>
          </w:rPr>
          <w:t>,</w:t>
        </w:r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</w:rPr>
          <w:t xml:space="preserve"> alin.(1^4)</w:t>
        </w:r>
      </w:hyperlink>
      <w:r>
        <w:rPr>
          <w:rFonts w:cs="Tahoma" w:ascii="Tahoma" w:hAnsi="Tahoma"/>
          <w:color w:val="auto"/>
          <w:sz w:val="24"/>
          <w:szCs w:val="24"/>
          <w:shd w:fill="FFFFFF" w:val="clear"/>
        </w:rPr>
        <w:t>, după caz, din </w:t>
      </w:r>
      <w:hyperlink r:id="rId6">
        <w:r>
          <w:rPr>
            <w:rStyle w:val="Hyperlink"/>
            <w:rFonts w:cs="Tahoma" w:ascii="Tahoma" w:hAnsi="Tahoma"/>
            <w:color w:val="auto"/>
            <w:sz w:val="24"/>
            <w:szCs w:val="24"/>
            <w:shd w:fill="FFFFFF" w:val="clear"/>
          </w:rPr>
          <w:t>Legea nr.273/2006</w:t>
        </w:r>
      </w:hyperlink>
      <w:r>
        <w:rPr>
          <w:rFonts w:cs="Tahoma" w:ascii="Tahoma" w:hAnsi="Tahoma"/>
          <w:color w:val="auto"/>
          <w:sz w:val="24"/>
          <w:szCs w:val="24"/>
          <w:shd w:fill="FFFFFF" w:val="clear"/>
        </w:rPr>
        <w:t xml:space="preserve">, cu </w:t>
      </w:r>
      <w:r>
        <w:rPr>
          <w:rFonts w:cs="Tahoma" w:ascii="Tahoma" w:hAnsi="Tahoma"/>
          <w:sz w:val="24"/>
          <w:szCs w:val="24"/>
          <w:shd w:fill="FFFFFF" w:val="clear"/>
        </w:rPr>
        <w:t xml:space="preserve">modificările și completările ulterioare. </w:t>
      </w:r>
      <w:r>
        <w:rPr>
          <w:rStyle w:val="salnbdy"/>
          <w:rFonts w:cs="Tahoma" w:ascii="Tahoma" w:hAnsi="Tahoma"/>
          <w:sz w:val="24"/>
          <w:szCs w:val="24"/>
          <w:shd w:fill="FFFFFF" w:val="clear"/>
        </w:rPr>
        <w:t>Pe baza hotărârilor autorităților deliberative sau a dispoziției ordonatorului principal de credite sau persoanei căreia i s-au delegat aceste atribuții, după caz, unitățile Trezoreriei Statului înregistrează operațiunea de acoperire definitivă a deficitelor secțiunilor respective, pe bază de notă contabilă.»</w:t>
      </w:r>
    </w:p>
    <w:p>
      <w:pPr>
        <w:pStyle w:val="ListParagraph"/>
        <w:numPr>
          <w:ilvl w:val="0"/>
          <w:numId w:val="2"/>
        </w:numPr>
        <w:ind w:firstLine="567" w:start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art.58, alin.(1), Legii nr.273/2006 privind finanțele publice, cu modificările si completările ulterioare.</w:t>
      </w:r>
    </w:p>
    <w:p>
      <w:pPr>
        <w:pStyle w:val="Normal"/>
        <w:spacing w:lineRule="auto" w:line="276"/>
        <w:ind w:firstLine="567"/>
        <w:jc w:val="both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În temeiul </w:t>
      </w:r>
      <w:r>
        <w:rPr>
          <w:rFonts w:cs="Tahoma" w:ascii="Tahoma" w:hAnsi="Tahoma"/>
          <w:kern w:val="2"/>
          <w:lang w:val="ro-RO"/>
        </w:rPr>
        <w:t xml:space="preserve">dispozițiilor </w:t>
      </w:r>
      <w:r>
        <w:rPr>
          <w:rFonts w:cs="Tahoma" w:ascii="Tahoma" w:hAnsi="Tahoma"/>
        </w:rPr>
        <w:t>art.129, alin</w:t>
      </w:r>
      <w:r>
        <w:rPr>
          <w:rFonts w:cs="Tahoma" w:ascii="Tahoma" w:hAnsi="Tahoma"/>
          <w:lang w:val="ro-RO"/>
        </w:rPr>
        <w:t>.(</w:t>
      </w:r>
      <w:r>
        <w:rPr>
          <w:rFonts w:cs="Tahoma" w:ascii="Tahoma" w:hAnsi="Tahoma"/>
        </w:rPr>
        <w:t>1</w:t>
      </w:r>
      <w:r>
        <w:rPr>
          <w:rFonts w:cs="Tahoma" w:ascii="Tahoma" w:hAnsi="Tahoma"/>
          <w:lang w:val="ro-RO"/>
        </w:rPr>
        <w:t>)</w:t>
      </w:r>
      <w:r>
        <w:rPr>
          <w:rFonts w:cs="Tahoma" w:ascii="Tahoma" w:hAnsi="Tahoma"/>
        </w:rPr>
        <w:t>, alin.</w:t>
      </w:r>
      <w:r>
        <w:rPr>
          <w:rFonts w:cs="Tahoma" w:ascii="Tahoma" w:hAnsi="Tahoma"/>
          <w:lang w:val="ro-RO"/>
        </w:rPr>
        <w:t>(</w:t>
      </w:r>
      <w:r>
        <w:rPr>
          <w:rFonts w:cs="Tahoma" w:ascii="Tahoma" w:hAnsi="Tahoma"/>
        </w:rPr>
        <w:t>4</w:t>
      </w:r>
      <w:r>
        <w:rPr>
          <w:rFonts w:cs="Tahoma" w:ascii="Tahoma" w:hAnsi="Tahoma"/>
          <w:lang w:val="ro-RO"/>
        </w:rPr>
        <w:t>)</w:t>
      </w:r>
      <w:r>
        <w:rPr>
          <w:rFonts w:cs="Tahoma" w:ascii="Tahoma" w:hAnsi="Tahoma"/>
        </w:rPr>
        <w:t>, lit.a), art.139, alin</w:t>
      </w:r>
      <w:r>
        <w:rPr>
          <w:rFonts w:cs="Tahoma" w:ascii="Tahoma" w:hAnsi="Tahoma"/>
          <w:lang w:val="ro-RO"/>
        </w:rPr>
        <w:t>.</w:t>
      </w:r>
      <w:r>
        <w:rPr>
          <w:rFonts w:cs="Tahoma" w:ascii="Tahoma" w:hAnsi="Tahoma"/>
        </w:rPr>
        <w:t xml:space="preserve">(3), lit.a) și art.196 alin.(1), lit.a) din Ordonanță de Urgență al Guvernului nr.57/2019, privind Codul Administrativ, cu modificările și completările ulterioare, </w:t>
      </w:r>
      <w:r>
        <w:rPr>
          <w:rFonts w:cs="Tahoma" w:ascii="Tahoma" w:hAnsi="Tahoma"/>
          <w:iCs/>
          <w:kern w:val="2"/>
        </w:rPr>
        <w:t>adoptă următoarea: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0"/>
        <w:rPr>
          <w:rFonts w:ascii="Tahoma" w:hAnsi="Tahoma" w:cs="Tahoma"/>
          <w:kern w:val="2"/>
          <w:lang w:eastAsia="en-US"/>
        </w:rPr>
      </w:pPr>
      <w:r>
        <w:rPr>
          <w:rFonts w:cs="Tahoma" w:ascii="Tahoma" w:hAnsi="Tahoma"/>
          <w:kern w:val="2"/>
          <w:lang w:eastAsia="en-US"/>
        </w:rPr>
      </w:r>
    </w:p>
    <w:p>
      <w:pPr>
        <w:pStyle w:val="Normal"/>
        <w:jc w:val="center"/>
        <w:rPr>
          <w:rFonts w:ascii="Tahoma" w:hAnsi="Tahoma" w:cs="Tahoma"/>
          <w:b/>
          <w:bCs/>
          <w:kern w:val="2"/>
          <w:sz w:val="28"/>
          <w:szCs w:val="28"/>
        </w:rPr>
      </w:pPr>
      <w:bookmarkStart w:id="1" w:name="_Hlk153641462"/>
      <w:bookmarkStart w:id="2" w:name="_GoBack"/>
      <w:bookmarkEnd w:id="2"/>
      <w:r>
        <w:rPr>
          <w:rFonts w:cs="Tahoma" w:ascii="Tahoma" w:hAnsi="Tahoma"/>
          <w:b/>
          <w:bCs/>
          <w:kern w:val="2"/>
          <w:sz w:val="28"/>
          <w:szCs w:val="28"/>
        </w:rPr>
        <w:t>H O T Ă R Â R E:</w:t>
      </w:r>
      <w:bookmarkEnd w:id="1"/>
    </w:p>
    <w:p>
      <w:pPr>
        <w:pStyle w:val="Normal"/>
        <w:jc w:val="center"/>
        <w:rPr>
          <w:rFonts w:ascii="Tahoma" w:hAnsi="Tahoma" w:cs="Tahoma"/>
          <w:b/>
          <w:bCs/>
          <w:kern w:val="2"/>
        </w:rPr>
      </w:pPr>
      <w:r>
        <w:rPr>
          <w:rFonts w:cs="Tahoma" w:ascii="Tahoma" w:hAnsi="Tahoma"/>
          <w:b/>
          <w:bCs/>
          <w:kern w:val="2"/>
        </w:rPr>
      </w:r>
    </w:p>
    <w:p>
      <w:pPr>
        <w:pStyle w:val="Normal"/>
        <w:tabs>
          <w:tab w:val="clear" w:pos="720"/>
          <w:tab w:val="left" w:pos="3420" w:leader="none"/>
        </w:tabs>
        <w:spacing w:before="0" w:after="0"/>
        <w:ind w:firstLine="567"/>
        <w:jc w:val="both"/>
        <w:rPr>
          <w:rFonts w:ascii="Tahoma" w:hAnsi="Tahoma" w:cs="Tahoma"/>
          <w:sz w:val="24"/>
          <w:szCs w:val="24"/>
        </w:rPr>
      </w:pPr>
      <w:bookmarkStart w:id="3" w:name="_Hlk187429629"/>
      <w:r>
        <w:rPr>
          <w:rFonts w:cs="Tahoma" w:ascii="Tahoma" w:hAnsi="Tahoma"/>
          <w:b/>
          <w:i/>
          <w:iCs/>
          <w:sz w:val="24"/>
          <w:szCs w:val="24"/>
          <w:u w:val="single"/>
        </w:rPr>
        <w:t>Art.1</w:t>
      </w:r>
      <w:r>
        <w:rPr>
          <w:rFonts w:cs="Tahoma" w:ascii="Tahoma" w:hAnsi="Tahoma"/>
          <w:b/>
          <w:sz w:val="24"/>
          <w:szCs w:val="24"/>
          <w:u w:val="single"/>
        </w:rPr>
        <w:t>.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 xml:space="preserve"> Se aprobă acoperirea definitivă a deficitului bugetar pe anul </w:t>
      </w:r>
      <w:r>
        <w:rPr>
          <w:rFonts w:cs="Tahoma" w:ascii="Tahoma" w:hAnsi="Tahoma"/>
          <w:b/>
          <w:bCs/>
          <w:sz w:val="24"/>
          <w:szCs w:val="24"/>
          <w:lang w:val="ro-RO"/>
        </w:rPr>
        <w:t>2025</w:t>
      </w:r>
      <w:r>
        <w:rPr>
          <w:rFonts w:cs="Tahoma" w:ascii="Tahoma" w:hAnsi="Tahoma"/>
          <w:sz w:val="24"/>
          <w:szCs w:val="24"/>
        </w:rPr>
        <w:t xml:space="preserve">, </w:t>
      </w:r>
      <w:r>
        <w:rPr>
          <w:rFonts w:cs="Tahoma" w:ascii="Tahoma" w:hAnsi="Tahoma"/>
          <w:b w:val="false"/>
          <w:bCs/>
          <w:sz w:val="24"/>
          <w:szCs w:val="24"/>
          <w:u w:val="single"/>
        </w:rPr>
        <w:t xml:space="preserve">a </w:t>
      </w:r>
      <w:r>
        <w:rPr>
          <w:rFonts w:cs="Tahoma" w:ascii="Tahoma" w:hAnsi="Tahoma"/>
          <w:b w:val="false"/>
          <w:bCs/>
          <w:sz w:val="24"/>
          <w:szCs w:val="24"/>
          <w:u w:val="single"/>
          <w:lang w:val="ro-RO"/>
        </w:rPr>
        <w:t>S</w:t>
      </w:r>
      <w:r>
        <w:rPr>
          <w:rFonts w:cs="Tahoma" w:ascii="Tahoma" w:hAnsi="Tahoma"/>
          <w:b w:val="false"/>
          <w:bCs/>
          <w:sz w:val="24"/>
          <w:szCs w:val="24"/>
          <w:u w:val="single"/>
        </w:rPr>
        <w:t>ecțiunii de dezvoltare</w:t>
      </w:r>
      <w:r>
        <w:rPr>
          <w:rFonts w:cs="Tahoma" w:ascii="Tahoma" w:hAnsi="Tahoma"/>
          <w:b w:val="false"/>
          <w:bCs/>
          <w:sz w:val="24"/>
          <w:szCs w:val="24"/>
        </w:rPr>
        <w:t>,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b w:val="false"/>
          <w:bCs/>
          <w:sz w:val="24"/>
          <w:szCs w:val="24"/>
        </w:rPr>
        <w:t>sursa A,</w:t>
      </w:r>
      <w:r>
        <w:rPr>
          <w:rFonts w:cs="Tahoma" w:ascii="Tahoma" w:hAnsi="Tahoma"/>
          <w:sz w:val="24"/>
          <w:szCs w:val="24"/>
        </w:rPr>
        <w:t xml:space="preserve"> în suma de </w:t>
      </w:r>
      <w:r>
        <w:rPr>
          <w:rFonts w:cs="Tahoma" w:ascii="Tahoma" w:hAnsi="Tahoma"/>
          <w:b/>
          <w:bCs/>
          <w:sz w:val="24"/>
          <w:szCs w:val="24"/>
          <w:lang w:val="ro-RO"/>
        </w:rPr>
        <w:t>1.391</w:t>
      </w:r>
      <w:r>
        <w:rPr>
          <w:rFonts w:cs="Tahoma" w:ascii="Tahoma" w:hAnsi="Tahoma"/>
          <w:b/>
          <w:bCs/>
          <w:sz w:val="24"/>
          <w:szCs w:val="24"/>
        </w:rPr>
        <w:t>.</w:t>
      </w:r>
      <w:r>
        <w:rPr>
          <w:rFonts w:cs="Tahoma" w:ascii="Tahoma" w:hAnsi="Tahoma"/>
          <w:b/>
          <w:bCs/>
          <w:sz w:val="24"/>
          <w:szCs w:val="24"/>
          <w:lang w:val="ro-RO"/>
        </w:rPr>
        <w:t>218</w:t>
      </w:r>
      <w:r>
        <w:rPr>
          <w:rFonts w:cs="Tahoma" w:ascii="Tahoma" w:hAnsi="Tahoma"/>
          <w:b/>
          <w:bCs/>
          <w:sz w:val="24"/>
          <w:szCs w:val="24"/>
        </w:rPr>
        <w:t>,</w:t>
      </w:r>
      <w:r>
        <w:rPr>
          <w:rFonts w:cs="Tahoma" w:ascii="Tahoma" w:hAnsi="Tahoma"/>
          <w:b/>
          <w:bCs/>
          <w:sz w:val="24"/>
          <w:szCs w:val="24"/>
          <w:lang w:val="ro-RO"/>
        </w:rPr>
        <w:t>1</w:t>
      </w:r>
      <w:r>
        <w:rPr>
          <w:rFonts w:cs="Tahoma" w:ascii="Tahoma" w:hAnsi="Tahoma"/>
          <w:b/>
          <w:bCs/>
          <w:sz w:val="24"/>
          <w:szCs w:val="24"/>
        </w:rPr>
        <w:t>9 lei</w:t>
      </w:r>
      <w:r>
        <w:rPr>
          <w:rFonts w:cs="Tahoma" w:ascii="Tahoma" w:hAnsi="Tahoma"/>
          <w:b/>
          <w:sz w:val="24"/>
          <w:szCs w:val="24"/>
        </w:rPr>
        <w:t>,</w:t>
      </w:r>
      <w:r>
        <w:rPr>
          <w:rFonts w:cs="Tahoma" w:ascii="Tahoma" w:hAnsi="Tahoma"/>
          <w:sz w:val="24"/>
          <w:szCs w:val="24"/>
        </w:rPr>
        <w:t xml:space="preserve"> din excedentul bugetului local aferent anului </w:t>
      </w:r>
      <w:r>
        <w:rPr>
          <w:rFonts w:cs="Tahoma" w:ascii="Tahoma" w:hAnsi="Tahoma"/>
          <w:sz w:val="24"/>
          <w:szCs w:val="24"/>
          <w:lang w:val="ro-RO"/>
        </w:rPr>
        <w:t>2025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20"/>
          <w:tab w:val="left" w:pos="0" w:leader="none"/>
        </w:tabs>
        <w:overflowPunct w:val="false"/>
        <w:bidi w:val="0"/>
        <w:snapToGrid w:val="true"/>
        <w:spacing w:lineRule="auto" w:line="240" w:before="0" w:after="0"/>
        <w:ind w:firstLine="567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i/>
          <w:iCs/>
          <w:sz w:val="24"/>
          <w:szCs w:val="24"/>
          <w:u w:val="single"/>
        </w:rPr>
        <w:t>Art.2</w:t>
      </w:r>
      <w:r>
        <w:rPr>
          <w:rFonts w:cs="Tahoma" w:ascii="Tahoma" w:hAnsi="Tahoma"/>
          <w:b/>
          <w:sz w:val="24"/>
          <w:szCs w:val="24"/>
          <w:u w:val="single"/>
        </w:rPr>
        <w:t>.</w:t>
      </w:r>
      <w:r>
        <w:rPr>
          <w:rFonts w:cs="Tahoma" w:ascii="Tahoma" w:hAnsi="Tahoma"/>
          <w:sz w:val="24"/>
          <w:szCs w:val="24"/>
        </w:rPr>
        <w:t xml:space="preserve">  Se aprobă efectuarea unui împrumu</w:t>
      </w:r>
      <w:r>
        <w:rPr>
          <w:rFonts w:cs="Tahoma" w:ascii="Tahoma" w:hAnsi="Tahoma"/>
          <w:sz w:val="24"/>
          <w:szCs w:val="24"/>
          <w:lang w:val="ro-RO"/>
        </w:rPr>
        <w:t>t în sumă de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ro-RO"/>
        </w:rPr>
        <w:t>200.000,00</w:t>
      </w:r>
      <w:r>
        <w:rPr>
          <w:rFonts w:cs="Tahoma" w:ascii="Tahoma" w:hAnsi="Tahoma"/>
          <w:sz w:val="24"/>
          <w:szCs w:val="24"/>
          <w:lang w:val="ro-RO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ro-RO"/>
        </w:rPr>
        <w:t>lei</w:t>
      </w:r>
      <w:r>
        <w:rPr>
          <w:rFonts w:cs="Tahoma" w:ascii="Tahoma" w:hAnsi="Tahoma"/>
          <w:sz w:val="24"/>
          <w:szCs w:val="24"/>
          <w:lang w:val="ro-RO"/>
        </w:rPr>
        <w:t xml:space="preserve"> de </w:t>
      </w:r>
      <w:r>
        <w:rPr>
          <w:rFonts w:cs="Tahoma" w:ascii="Tahoma" w:hAnsi="Tahoma"/>
          <w:b w:val="false"/>
          <w:bCs w:val="false"/>
          <w:sz w:val="24"/>
          <w:szCs w:val="24"/>
          <w:lang w:val="ro-RO"/>
        </w:rPr>
        <w:t>la sursa A,</w:t>
      </w:r>
      <w:r>
        <w:rPr>
          <w:rFonts w:cs="Tahoma" w:ascii="Tahoma" w:hAnsi="Tahoma"/>
          <w:sz w:val="24"/>
          <w:szCs w:val="24"/>
          <w:lang w:val="ro-RO"/>
        </w:rPr>
        <w:t xml:space="preserve"> din excedentul </w:t>
      </w:r>
      <w:r>
        <w:rPr>
          <w:rFonts w:cs="Tahoma" w:ascii="Tahoma" w:hAnsi="Tahoma"/>
          <w:sz w:val="24"/>
          <w:szCs w:val="24"/>
        </w:rPr>
        <w:t>bugetului local</w:t>
      </w:r>
      <w:r>
        <w:rPr>
          <w:rFonts w:cs="Tahoma" w:ascii="Tahoma" w:hAnsi="Tahoma"/>
          <w:sz w:val="24"/>
          <w:szCs w:val="24"/>
          <w:lang w:val="ro-RO"/>
        </w:rPr>
        <w:t xml:space="preserve">, necesar pentru acoperirea golului temporar de casă, privind </w:t>
      </w:r>
      <w:r>
        <w:rPr>
          <w:rFonts w:cs="Tahoma" w:ascii="Tahoma" w:hAnsi="Tahoma"/>
          <w:sz w:val="24"/>
          <w:szCs w:val="24"/>
        </w:rPr>
        <w:t>plata salariilor și a utilitățilorr.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ahoma" w:hAnsi="Tahoma" w:cs="Tahoma"/>
        </w:rPr>
      </w:pPr>
      <w:r>
        <w:rPr>
          <w:rFonts w:cs="Tahoma" w:ascii="Tahoma" w:hAnsi="Tahoma"/>
          <w:b/>
          <w:i/>
          <w:iCs/>
          <w:u w:val="single"/>
        </w:rPr>
        <w:t>Art.3</w:t>
      </w:r>
      <w:r>
        <w:rPr>
          <w:rFonts w:cs="Tahoma" w:ascii="Tahoma" w:hAnsi="Tahoma"/>
        </w:rPr>
        <w:t xml:space="preserve">. Cu aducere la îndeplinire a prezentei hotărârii se însărcinează dl. Petrean Bogdan-Marius, primarul </w:t>
      </w:r>
      <w:r>
        <w:rPr>
          <w:rFonts w:cs="Tahoma" w:ascii="Tahoma" w:hAnsi="Tahoma"/>
          <w:lang w:val="ro-RO"/>
        </w:rPr>
        <w:t>C</w:t>
      </w:r>
      <w:r>
        <w:rPr>
          <w:rFonts w:cs="Tahoma" w:ascii="Tahoma" w:hAnsi="Tahoma"/>
        </w:rPr>
        <w:t xml:space="preserve">omunei Sânpetru Mare prin Compartimentul Contabilitate al primăriei comunei Sânpetru Mare </w:t>
      </w:r>
      <w:bookmarkEnd w:id="3"/>
    </w:p>
    <w:p>
      <w:pPr>
        <w:pStyle w:val="Normal"/>
        <w:spacing w:lineRule="auto" w:line="276"/>
        <w:ind w:firstLine="567"/>
        <w:jc w:val="both"/>
        <w:rPr>
          <w:rFonts w:ascii="Tahoma" w:hAnsi="Tahoma" w:cs="Tahoma"/>
          <w:kern w:val="2"/>
        </w:rPr>
      </w:pPr>
      <w:r>
        <w:rPr>
          <w:rFonts w:cs="Tahoma" w:ascii="Tahoma" w:hAnsi="Tahoma"/>
          <w:b/>
          <w:i/>
          <w:iCs/>
          <w:kern w:val="2"/>
          <w:u w:val="single"/>
        </w:rPr>
        <w:t>Art.</w:t>
      </w:r>
      <w:r>
        <w:rPr>
          <w:rFonts w:cs="Tahoma" w:ascii="Tahoma" w:hAnsi="Tahoma"/>
          <w:b/>
          <w:i/>
          <w:iCs/>
          <w:kern w:val="2"/>
          <w:u w:val="single"/>
          <w:lang w:val="ro-RO"/>
        </w:rPr>
        <w:t>4</w:t>
      </w:r>
      <w:r>
        <w:rPr>
          <w:rFonts w:cs="Tahoma" w:ascii="Tahoma" w:hAnsi="Tahoma"/>
          <w:b/>
          <w:kern w:val="2"/>
          <w:u w:val="single"/>
        </w:rPr>
        <w:t>.</w:t>
      </w:r>
      <w:r>
        <w:rPr>
          <w:rFonts w:cs="Tahoma" w:ascii="Tahoma" w:hAnsi="Tahoma"/>
          <w:b/>
          <w:kern w:val="2"/>
        </w:rPr>
        <w:t xml:space="preserve"> </w:t>
      </w:r>
      <w:r>
        <w:rPr>
          <w:rFonts w:cs="Tahoma" w:ascii="Tahoma" w:hAnsi="Tahoma"/>
          <w:kern w:val="2"/>
        </w:rPr>
        <w:t xml:space="preserve">Prezenta se comunică: </w:t>
      </w:r>
    </w:p>
    <w:p>
      <w:pPr>
        <w:pStyle w:val="Normal"/>
        <w:spacing w:lineRule="auto" w:line="276"/>
        <w:ind w:hanging="284" w:start="284"/>
        <w:jc w:val="both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- Instituției Prefectului-Județul Timiș- Serviciul controlul legalității, aplicării actelor cu caracter reparatoriu și contencios administrativ; </w:t>
      </w:r>
    </w:p>
    <w:p>
      <w:pPr>
        <w:pStyle w:val="Normal"/>
        <w:spacing w:lineRule="auto" w:line="276"/>
        <w:ind w:hanging="720" w:start="720"/>
        <w:jc w:val="both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- Trezorerie Sânnicolau Mare,</w:t>
      </w:r>
    </w:p>
    <w:p>
      <w:pPr>
        <w:pStyle w:val="Normal"/>
        <w:spacing w:lineRule="auto" w:line="276"/>
        <w:ind w:hanging="720" w:start="720"/>
        <w:jc w:val="both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- dlui. Primar al comunei Sânpetru Mare,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2" w:leader="none"/>
        </w:tabs>
        <w:spacing w:lineRule="auto" w:line="276"/>
        <w:ind w:hanging="284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Compartimentului Contabilitate din cadrul Primăriei Sânpetru Mare;</w:t>
      </w:r>
    </w:p>
    <w:p>
      <w:pPr>
        <w:pStyle w:val="Normal"/>
        <w:spacing w:lineRule="auto" w:line="276"/>
        <w:jc w:val="both"/>
        <w:rPr>
          <w:rFonts w:ascii="Tahoma" w:hAnsi="Tahoma" w:cs="Tahoma"/>
          <w:bCs/>
          <w:kern w:val="2"/>
        </w:rPr>
      </w:pPr>
      <w:r>
        <w:rPr>
          <w:rFonts w:cs="Tahoma" w:ascii="Tahoma" w:hAnsi="Tahoma"/>
          <w:bCs/>
          <w:kern w:val="2"/>
        </w:rPr>
        <w:t>- la dosarul ședinței</w:t>
      </w:r>
    </w:p>
    <w:p>
      <w:pPr>
        <w:pStyle w:val="Normal"/>
        <w:spacing w:lineRule="auto" w:line="276"/>
        <w:ind w:hanging="284" w:start="284"/>
        <w:jc w:val="both"/>
        <w:rPr>
          <w:rFonts w:ascii="Tahoma" w:hAnsi="Tahoma" w:cs="Tahoma"/>
          <w:bCs/>
          <w:kern w:val="2"/>
        </w:rPr>
      </w:pPr>
      <w:r>
        <w:rPr>
          <w:rFonts w:cs="Tahoma" w:ascii="Tahoma" w:hAnsi="Tahoma"/>
          <w:bCs/>
          <w:kern w:val="2"/>
        </w:rPr>
        <w:t xml:space="preserve">- se aduce la cunoștință publică prin afișarea la sediul Primăriei, precum și pe site-ul primăriei comunei Sânpetru Mare </w:t>
      </w:r>
      <w:hyperlink r:id="rId7">
        <w:r>
          <w:rPr>
            <w:rStyle w:val="Hyperlink"/>
            <w:rFonts w:cs="Tahoma" w:ascii="Tahoma" w:hAnsi="Tahoma"/>
            <w:bCs/>
            <w:kern w:val="2"/>
          </w:rPr>
          <w:t>www.primaria.sanpetrumare.ro</w:t>
        </w:r>
      </w:hyperlink>
    </w:p>
    <w:p>
      <w:pPr>
        <w:pStyle w:val="Normal"/>
        <w:ind w:hanging="720" w:start="720"/>
        <w:jc w:val="both"/>
        <w:rPr>
          <w:bCs/>
          <w:kern w:val="2"/>
          <w:sz w:val="26"/>
          <w:szCs w:val="26"/>
        </w:rPr>
      </w:pPr>
      <w:r>
        <w:rPr>
          <w:bCs/>
          <w:kern w:val="2"/>
          <w:sz w:val="26"/>
          <w:szCs w:val="26"/>
        </w:rPr>
      </w:r>
    </w:p>
    <w:p>
      <w:pPr>
        <w:pStyle w:val="Normal"/>
        <w:ind w:firstLine="720"/>
        <w:jc w:val="both"/>
        <w:rPr/>
      </w:pPr>
      <w:r>
        <w:rPr/>
        <w:tab/>
      </w:r>
    </w:p>
    <w:p>
      <w:pPr>
        <w:pStyle w:val="Normal"/>
        <w:ind w:firstLine="720"/>
        <w:jc w:val="both"/>
        <w:rPr/>
      </w:pPr>
      <w:r>
        <w:rPr/>
        <w:t>PREȘEDINTE DE ȘEDINȚĂ;</w:t>
        <w:tab/>
        <w:tab/>
        <w:tab/>
      </w:r>
      <w:r>
        <w:rPr>
          <w:lang w:val="ro-RO"/>
        </w:rPr>
        <w:t xml:space="preserve"> </w:t>
      </w:r>
      <w:r>
        <w:rPr/>
        <w:t xml:space="preserve">CONTRASEMNEAZĂ; </w:t>
      </w:r>
    </w:p>
    <w:p>
      <w:pPr>
        <w:pStyle w:val="Normal"/>
        <w:ind w:firstLine="720"/>
        <w:jc w:val="both"/>
        <w:rPr/>
      </w:pPr>
      <w:r>
        <w:rPr/>
        <w:t xml:space="preserve">             </w:t>
      </w:r>
      <w:r>
        <w:rPr/>
        <w:t>CONSILIER,</w:t>
        <w:tab/>
        <w:tab/>
        <w:tab/>
        <w:tab/>
        <w:t xml:space="preserve">      </w:t>
      </w:r>
      <w:r>
        <w:rPr>
          <w:lang w:val="ro-RO"/>
        </w:rPr>
        <w:t xml:space="preserve">      P.</w:t>
      </w:r>
      <w:r>
        <w:rPr/>
        <w:t xml:space="preserve"> Secretar general al UAT</w:t>
      </w:r>
    </w:p>
    <w:p>
      <w:pPr>
        <w:pStyle w:val="Normal"/>
        <w:ind w:firstLine="720"/>
        <w:jc w:val="both"/>
        <w:rPr>
          <w:lang w:val="ro-RO"/>
        </w:rPr>
      </w:pPr>
      <w:r>
        <w:rPr>
          <w:b/>
          <w:bCs/>
        </w:rPr>
        <w:t xml:space="preserve">         </w:t>
      </w:r>
      <w:r>
        <w:rPr>
          <w:b w:val="false"/>
          <w:bCs w:val="false"/>
          <w:lang w:val="ro-RO"/>
        </w:rPr>
        <w:t>Ciprian BOCOI</w:t>
      </w:r>
      <w:r>
        <w:rPr/>
        <w:t xml:space="preserve">                                                    </w:t>
      </w:r>
      <w:r>
        <w:rPr>
          <w:lang w:val="ro-RO"/>
        </w:rPr>
        <w:t xml:space="preserve">  Georgeta COVACI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>
          <w:bCs/>
          <w:i/>
          <w:iCs/>
          <w:lang w:val="ro-RO"/>
        </w:rPr>
      </w:pPr>
      <w:r>
        <w:rPr>
          <w:bCs/>
          <w:i/>
          <w:iCs/>
        </w:rPr>
        <w:t xml:space="preserve">HCL nr.2 din </w:t>
      </w:r>
      <w:r>
        <w:rPr>
          <w:bCs/>
          <w:i/>
          <w:iCs/>
          <w:lang w:val="ro-RO"/>
        </w:rPr>
        <w:t>23.01.2026</w:t>
      </w:r>
    </w:p>
    <w:sectPr>
      <w:type w:val="nextPage"/>
      <w:pgSz w:w="11906" w:h="16838"/>
      <w:pgMar w:left="1440" w:right="1134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154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0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2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6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8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20" w:hanging="0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</w:abstractNum>
  <w:abstractNum w:abstractNumId="2">
    <w:lvl w:ilvl="0">
      <w:numFmt w:val="bullet"/>
      <w:lvlText w:val="-"/>
      <w:lvlJc w:val="start"/>
      <w:pPr>
        <w:tabs>
          <w:tab w:val="num" w:pos="0"/>
        </w:tabs>
        <w:ind w:star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87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1305"/>
        </w:tabs>
        <w:ind w:start="130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o-R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ght Shading" w:uiPriority="60" w:semiHidden="0" w:unhideWhenUsed="0" w:qFormat="1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 w:qFormat="1"/>
    <w:lsdException w:name="Light List Accent 1" w:uiPriority="61" w:semiHidden="0" w:unhideWhenUsed="0" w:qFormat="1"/>
    <w:lsdException w:name="Light Grid Accent 1" w:uiPriority="62" w:semiHidden="0" w:unhideWhenUsed="0" w:qFormat="1"/>
    <w:lsdException w:name="Medium Shading 1 Accent 1" w:uiPriority="63" w:semiHidden="0" w:unhideWhenUsed="0" w:qFormat="1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 w:qFormat="1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 w:qFormat="1"/>
    <w:lsdException w:name="Light List Accent 3" w:uiPriority="61" w:semiHidden="0" w:unhideWhenUsed="0" w:qFormat="1"/>
    <w:lsdException w:name="Light Grid Accent 3" w:uiPriority="62" w:semiHidden="0" w:unhideWhenUsed="0"/>
    <w:lsdException w:name="Medium Shading 1 Accent 3" w:uiPriority="63" w:semiHidden="0" w:unhideWhenUsed="0" w:qFormat="1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 w:qFormat="1"/>
    <w:lsdException w:name="Light List Accent 4" w:uiPriority="61" w:semiHidden="0" w:unhideWhenUsed="0" w:qFormat="1"/>
    <w:lsdException w:name="Light Grid Accent 4" w:uiPriority="62" w:semiHidden="0" w:unhideWhenUsed="0" w:qFormat="1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 w:qFormat="1"/>
    <w:lsdException w:name="Light Grid Accent 5" w:uiPriority="62" w:semiHidden="0" w:unhideWhenUsed="0" w:qFormat="1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 w:qFormat="1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o-RO" w:eastAsia="ro-RO" w:bidi="ar-SA"/>
    </w:rPr>
  </w:style>
  <w:style w:type="paragraph" w:styleId="Heading1">
    <w:name w:val="heading 1"/>
    <w:next w:val="Normal"/>
    <w:uiPriority w:val="9"/>
    <w:qFormat/>
    <w:pPr>
      <w:keepNext w:val="true"/>
      <w:keepLines/>
      <w:widowControl/>
      <w:bidi w:val="0"/>
      <w:spacing w:lineRule="auto" w:line="259" w:before="0" w:after="10"/>
      <w:ind w:start="374"/>
      <w:jc w:val="center"/>
      <w:outlineLvl w:val="0"/>
    </w:pPr>
    <w:rPr>
      <w:rFonts w:ascii="Times New Roman" w:hAnsi="Times New Roman" w:eastAsia="Times New Roman" w:cs="Times New Roman"/>
      <w:color w:val="000000"/>
      <w:kern w:val="2"/>
      <w:sz w:val="34"/>
      <w:szCs w:val="22"/>
      <w:lang w:val="ro-RO" w:eastAsia="ro-RO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Strong">
    <w:name w:val="Strong"/>
    <w:uiPriority w:val="0"/>
    <w:qFormat/>
    <w:rPr>
      <w:b/>
      <w:bCs/>
    </w:rPr>
  </w:style>
  <w:style w:type="character" w:styleId="TextnBalonCaracter" w:customStyle="1">
    <w:name w:val="Text în Balon Caracte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val="ro-RO" w:eastAsia="ro-RO"/>
    </w:rPr>
  </w:style>
  <w:style w:type="character" w:styleId="CorptextCaracter" w:customStyle="1">
    <w:name w:val="Corp text Caracter"/>
    <w:basedOn w:val="DefaultParagraphFont"/>
    <w:uiPriority w:val="0"/>
    <w:qFormat/>
    <w:rPr>
      <w:rFonts w:ascii="Times New Roman" w:hAnsi="Times New Roman" w:eastAsia="Andale Sans UI" w:cs="Times New Roman"/>
      <w:kern w:val="2"/>
      <w:sz w:val="24"/>
      <w:szCs w:val="24"/>
      <w:lang w:val="en-US" w:eastAsia="zh-CN"/>
    </w:rPr>
  </w:style>
  <w:style w:type="character" w:styleId="AntetCaracter" w:customStyle="1">
    <w:name w:val="Antet Caracte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SubsolCaracter" w:customStyle="1">
    <w:name w:val="Subsol Caracte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saln" w:customStyle="1">
    <w:name w:val="s_aln"/>
    <w:uiPriority w:val="0"/>
    <w:qFormat/>
    <w:rPr/>
  </w:style>
  <w:style w:type="character" w:styleId="salnbdy" w:customStyle="1">
    <w:name w:val="s_aln_bdy"/>
    <w:uiPriority w:val="0"/>
    <w:qFormat/>
    <w:rPr/>
  </w:style>
  <w:style w:type="character" w:styleId="slitbdy" w:customStyle="1">
    <w:name w:val="s_lit_bdy"/>
    <w:uiPriority w:val="0"/>
    <w:qFormat/>
    <w:rPr/>
  </w:style>
  <w:style w:type="character" w:styleId="salnttl" w:customStyle="1">
    <w:name w:val="s_aln_ttl"/>
    <w:uiPriority w:val="0"/>
    <w:qFormat/>
    <w:rPr/>
  </w:style>
  <w:style w:type="character" w:styleId="Corptext2Caracter" w:customStyle="1">
    <w:name w:val="Corp text 2 Caracter"/>
    <w:basedOn w:val="DefaultParagraphFont"/>
    <w:link w:val="BodyText2"/>
    <w:uiPriority w:val="0"/>
    <w:qFormat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textCaracter"/>
    <w:uiPriority w:val="0"/>
    <w:qFormat/>
    <w:pPr>
      <w:widowControl w:val="false"/>
      <w:suppressAutoHyphens w:val="true"/>
      <w:spacing w:before="0" w:after="120"/>
    </w:pPr>
    <w:rPr>
      <w:rFonts w:eastAsia="Andale Sans UI"/>
      <w:kern w:val="2"/>
      <w:lang w:val="en-US"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nBalonCaracte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text2Caracter"/>
    <w:uiPriority w:val="0"/>
    <w:qFormat/>
    <w:pPr>
      <w:spacing w:lineRule="auto" w:line="480" w:before="0" w:after="120"/>
    </w:pPr>
    <w:rPr/>
  </w:style>
  <w:style w:type="paragraph" w:styleId="Antetisubsol">
    <w:name w:val="Antet și subsol"/>
    <w:basedOn w:val="Normal"/>
    <w:qFormat/>
    <w:pPr/>
    <w:rPr/>
  </w:style>
  <w:style w:type="paragraph" w:styleId="Footer">
    <w:name w:val="footer"/>
    <w:basedOn w:val="Normal"/>
    <w:link w:val="SubsolCaracte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link w:val="AntetCaracte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inutcadru">
    <w:name w:val="Conținut cadru"/>
    <w:basedOn w:val="Normal"/>
    <w:qFormat/>
    <w:pPr/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imaria.sanpetru_mare@cjtimis" TargetMode="External"/><Relationship Id="rId4" Type="http://schemas.openxmlformats.org/officeDocument/2006/relationships/hyperlink" Target="https://legislatie.just.ro/Public/DetaliiDocumentAfis/269485" TargetMode="External"/><Relationship Id="rId5" Type="http://schemas.openxmlformats.org/officeDocument/2006/relationships/hyperlink" Target="https://legislatie.just.ro/Public/DetaliiDocumentAfis/269485" TargetMode="External"/><Relationship Id="rId6" Type="http://schemas.openxmlformats.org/officeDocument/2006/relationships/hyperlink" Target="https://legislatie.just.ro/Public/DetaliiDocumentAfis/269485" TargetMode="External"/><Relationship Id="rId7" Type="http://schemas.openxmlformats.org/officeDocument/2006/relationships/hyperlink" Target="http://www.primaria.sanpetrumare.ro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LibreOffice/26.2.0.3$Windows_X86_64 LibreOffice_project/620$Build-3</Application>
  <AppVersion>15.0000</AppVersion>
  <Pages>2</Pages>
  <Words>527</Words>
  <Characters>3482</Characters>
  <CharactersWithSpaces>4153</CharactersWithSpaces>
  <Paragraphs>43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2024-01-18T12:59:00Z</dcterms:created>
  <dc:creator>Secretar-PC</dc:creator>
  <dc:description/>
  <dc:language>ro-RO</dc:language>
  <cp:lastModifiedBy/>
  <cp:lastPrinted>2025-01-17T07:24:00Z</cp:lastPrinted>
  <dcterms:modified xsi:type="dcterms:W3CDTF">2026-02-11T10:46:45Z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551CDF1222C748BC8E8A6C70472AFBD1_12</vt:lpwstr>
  </property>
  <property fmtid="{D5CDD505-2E9C-101B-9397-08002B2CF9AE}" pid="3" name="KSOProductBuildVer">
    <vt:lpwstr>1033-12.2.0.23196</vt:lpwstr>
  </property>
</Properties>
</file>