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9" w:tblpY="20"/>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6794"/>
      </w:tblGrid>
      <w:tr w14:paraId="0C1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14:paraId="449F1E0C">
            <w:pPr>
              <w:jc w:val="center"/>
              <w:rPr>
                <w:rFonts w:eastAsia="PMingLiU"/>
                <w:lang w:val="de-DE"/>
              </w:rPr>
            </w:pPr>
            <w:r>
              <w:drawing>
                <wp:inline distT="0" distB="0" distL="0" distR="0">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1" descr="Image result for stema romanie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47750" cy="1285875"/>
                          </a:xfrm>
                          <a:prstGeom prst="rect">
                            <a:avLst/>
                          </a:prstGeom>
                          <a:noFill/>
                          <a:ln>
                            <a:noFill/>
                          </a:ln>
                        </pic:spPr>
                      </pic:pic>
                    </a:graphicData>
                  </a:graphic>
                </wp:inline>
              </w:drawing>
            </w:r>
          </w:p>
        </w:tc>
        <w:tc>
          <w:tcPr>
            <w:tcW w:w="6794" w:type="dxa"/>
          </w:tcPr>
          <w:p w14:paraId="27508203">
            <w:pPr>
              <w:spacing w:line="276" w:lineRule="auto"/>
              <w:jc w:val="center"/>
              <w:rPr>
                <w:rFonts w:eastAsia="PMingLiU"/>
                <w:b/>
                <w:spacing w:val="40"/>
                <w:sz w:val="28"/>
                <w:szCs w:val="28"/>
                <w:lang w:val="de-DE"/>
              </w:rPr>
            </w:pPr>
            <w:r>
              <w:rPr>
                <w:b/>
                <w:spacing w:val="40"/>
                <w:sz w:val="28"/>
                <w:szCs w:val="28"/>
                <w:lang w:val="de-DE"/>
              </w:rPr>
              <w:t>ROMÂNIA</w:t>
            </w:r>
          </w:p>
          <w:p w14:paraId="569863C9">
            <w:pPr>
              <w:spacing w:line="276" w:lineRule="auto"/>
              <w:jc w:val="center"/>
              <w:rPr>
                <w:b/>
                <w:lang w:val="de-DE"/>
              </w:rPr>
            </w:pPr>
            <w:r>
              <w:rPr>
                <w:b/>
                <w:lang w:val="de-DE"/>
              </w:rPr>
              <w:t>JUDEȚUL TIMIȘ</w:t>
            </w:r>
          </w:p>
          <w:p w14:paraId="2F3906CA">
            <w:pPr>
              <w:spacing w:line="276" w:lineRule="auto"/>
              <w:jc w:val="center"/>
              <w:rPr>
                <w:rFonts w:eastAsia="PMingLiU"/>
                <w:b/>
                <w:spacing w:val="40"/>
                <w:lang w:val="de-DE"/>
              </w:rPr>
            </w:pPr>
            <w:r>
              <w:rPr>
                <w:b/>
                <w:lang w:val="de-DE"/>
              </w:rPr>
              <w:t>CONSILIUL LOCAL al COMUNEI SÂNPETRU MARE</w:t>
            </w:r>
          </w:p>
          <w:p w14:paraId="39C63505">
            <w:pPr>
              <w:spacing w:line="276" w:lineRule="auto"/>
              <w:jc w:val="center"/>
              <w:rPr>
                <w:b/>
                <w:lang w:val="de-DE"/>
              </w:rPr>
            </w:pPr>
            <w:r>
              <w:rPr>
                <w:b/>
                <w:lang w:val="de-DE"/>
              </w:rPr>
              <w:t>Judeţul Timiş, 307385, S</w:t>
            </w:r>
            <w:r>
              <w:rPr>
                <w:b/>
                <w:lang w:val="pt-BR"/>
              </w:rPr>
              <w:t>â</w:t>
            </w:r>
            <w:r>
              <w:rPr>
                <w:b/>
                <w:lang w:val="de-DE"/>
              </w:rPr>
              <w:t>npetru Mare, nr.1</w:t>
            </w:r>
          </w:p>
          <w:p w14:paraId="03ECDF28">
            <w:pPr>
              <w:spacing w:line="276" w:lineRule="auto"/>
              <w:jc w:val="center"/>
              <w:rPr>
                <w:lang w:val="de-DE"/>
              </w:rPr>
            </w:pPr>
            <w:r>
              <w:rPr>
                <w:lang w:val="de-DE"/>
              </w:rPr>
              <w:t>C.I.F. 4483862, Telefon:0256376177;</w:t>
            </w:r>
          </w:p>
          <w:p w14:paraId="3139A8F2">
            <w:pPr>
              <w:jc w:val="center"/>
              <w:rPr>
                <w:color w:val="0000FF"/>
                <w:u w:val="single"/>
              </w:rPr>
            </w:pPr>
            <w:r>
              <w:rPr>
                <w:lang w:val="de-DE"/>
              </w:rPr>
              <w:t xml:space="preserve">e-mail: </w:t>
            </w:r>
            <w:r>
              <w:fldChar w:fldCharType="begin"/>
            </w:r>
            <w:r>
              <w:instrText xml:space="preserve"> HYPERLINK "mailto:primaria.sanpetru_mare@cjtimis" </w:instrText>
            </w:r>
            <w:r>
              <w:fldChar w:fldCharType="separate"/>
            </w:r>
            <w:r>
              <w:rPr>
                <w:rStyle w:val="11"/>
              </w:rPr>
              <w:t>primaria.sanpetru_mare@cjtimis</w:t>
            </w:r>
            <w:r>
              <w:rPr>
                <w:rStyle w:val="11"/>
              </w:rPr>
              <w:fldChar w:fldCharType="end"/>
            </w:r>
            <w:r>
              <w:rPr>
                <w:rStyle w:val="11"/>
              </w:rPr>
              <w:t>.ro</w:t>
            </w:r>
          </w:p>
        </w:tc>
      </w:tr>
    </w:tbl>
    <w:p w14:paraId="2C7015F2">
      <w:pPr>
        <w:ind w:left="6372"/>
        <w:jc w:val="right"/>
        <w:rPr>
          <w:b/>
        </w:rPr>
      </w:pPr>
      <w:r>
        <w:tab/>
      </w:r>
      <w:r>
        <w:rPr>
          <w:b/>
        </w:rPr>
        <w:t xml:space="preserve">Total consilieri:13           </w:t>
      </w:r>
    </w:p>
    <w:p w14:paraId="6306B34A">
      <w:pPr>
        <w:ind w:left="6372" w:firstLine="708"/>
        <w:jc w:val="right"/>
        <w:rPr>
          <w:rFonts w:hint="default"/>
          <w:b/>
          <w:lang w:val="ro-RO"/>
        </w:rPr>
      </w:pPr>
      <w:r>
        <w:rPr>
          <w:b/>
        </w:rPr>
        <w:t xml:space="preserve"> Prezenți: 1</w:t>
      </w:r>
      <w:r>
        <w:rPr>
          <w:rFonts w:hint="default"/>
          <w:b/>
          <w:lang w:val="ro-RO"/>
        </w:rPr>
        <w:t>2</w:t>
      </w:r>
    </w:p>
    <w:p w14:paraId="1318F793">
      <w:pPr>
        <w:ind w:left="6372"/>
        <w:jc w:val="right"/>
        <w:rPr>
          <w:rFonts w:hint="default"/>
          <w:b/>
          <w:lang w:val="ro-RO"/>
        </w:rPr>
      </w:pPr>
      <w:r>
        <w:rPr>
          <w:b/>
        </w:rPr>
        <w:t xml:space="preserve">                  Pentru : 1</w:t>
      </w:r>
      <w:r>
        <w:rPr>
          <w:rFonts w:hint="default"/>
          <w:b/>
          <w:lang w:val="ro-RO"/>
        </w:rPr>
        <w:t>2</w:t>
      </w:r>
    </w:p>
    <w:p w14:paraId="3FDE8623">
      <w:pPr>
        <w:jc w:val="right"/>
        <w:rPr>
          <w:b/>
        </w:rPr>
      </w:pPr>
      <w:r>
        <w:rPr>
          <w:b/>
        </w:rPr>
        <w:tab/>
      </w:r>
      <w:r>
        <w:rPr>
          <w:b/>
        </w:rPr>
        <w:tab/>
      </w:r>
      <w:r>
        <w:rPr>
          <w:b/>
        </w:rPr>
        <w:tab/>
      </w:r>
      <w:r>
        <w:rPr>
          <w:b/>
        </w:rPr>
        <w:tab/>
      </w:r>
      <w:r>
        <w:rPr>
          <w:b/>
        </w:rPr>
        <w:tab/>
      </w:r>
      <w:r>
        <w:rPr>
          <w:b/>
        </w:rPr>
        <w:tab/>
      </w:r>
      <w:r>
        <w:rPr>
          <w:b/>
        </w:rPr>
        <w:tab/>
      </w:r>
      <w:r>
        <w:rPr>
          <w:b/>
        </w:rPr>
        <w:t xml:space="preserve">           </w:t>
      </w:r>
      <w:r>
        <w:rPr>
          <w:b/>
        </w:rPr>
        <w:tab/>
      </w:r>
      <w:r>
        <w:rPr>
          <w:b/>
        </w:rPr>
        <w:tab/>
      </w:r>
      <w:r>
        <w:rPr>
          <w:b/>
        </w:rPr>
        <w:t xml:space="preserve">     Împotrivă: X</w:t>
      </w:r>
    </w:p>
    <w:p w14:paraId="56CCCE58">
      <w:pPr>
        <w:jc w:val="right"/>
        <w:rPr>
          <w:b/>
        </w:rPr>
      </w:pPr>
      <w:r>
        <w:rPr>
          <w:b/>
        </w:rPr>
        <w:tab/>
      </w:r>
      <w:r>
        <w:rPr>
          <w:b/>
        </w:rPr>
        <w:tab/>
      </w:r>
      <w:r>
        <w:rPr>
          <w:b/>
        </w:rPr>
        <w:tab/>
      </w:r>
      <w:r>
        <w:rPr>
          <w:b/>
        </w:rPr>
        <w:tab/>
      </w:r>
      <w:r>
        <w:rPr>
          <w:b/>
        </w:rPr>
        <w:tab/>
      </w:r>
      <w:r>
        <w:rPr>
          <w:b/>
        </w:rPr>
        <w:tab/>
      </w:r>
      <w:r>
        <w:rPr>
          <w:b/>
        </w:rPr>
        <w:tab/>
      </w:r>
      <w:r>
        <w:rPr>
          <w:b/>
        </w:rPr>
        <w:t xml:space="preserve">             </w:t>
      </w:r>
      <w:r>
        <w:rPr>
          <w:b/>
        </w:rPr>
        <w:tab/>
      </w:r>
      <w:r>
        <w:rPr>
          <w:b/>
        </w:rPr>
        <w:tab/>
      </w:r>
      <w:r>
        <w:rPr>
          <w:b/>
        </w:rPr>
        <w:t xml:space="preserve">     Abţineri: X</w:t>
      </w:r>
    </w:p>
    <w:p w14:paraId="0EFE99A6">
      <w:pPr>
        <w:jc w:val="center"/>
        <w:rPr>
          <w:b/>
          <w:bCs/>
          <w:w w:val="105"/>
          <w:sz w:val="32"/>
          <w:szCs w:val="32"/>
        </w:rPr>
      </w:pPr>
      <w:r>
        <w:rPr>
          <w:b/>
          <w:bCs/>
          <w:w w:val="105"/>
          <w:sz w:val="32"/>
          <w:szCs w:val="32"/>
        </w:rPr>
        <w:t>HOTĂRÂREA</w:t>
      </w:r>
    </w:p>
    <w:p w14:paraId="7B7D0900">
      <w:pPr>
        <w:jc w:val="center"/>
        <w:rPr>
          <w:b/>
          <w:bCs/>
          <w:w w:val="105"/>
          <w:sz w:val="28"/>
          <w:szCs w:val="28"/>
        </w:rPr>
      </w:pPr>
      <w:r>
        <w:rPr>
          <w:b/>
          <w:bCs/>
          <w:w w:val="105"/>
          <w:sz w:val="28"/>
          <w:szCs w:val="28"/>
        </w:rPr>
        <w:t>Nr.</w:t>
      </w:r>
      <w:r>
        <w:rPr>
          <w:rFonts w:hint="default"/>
          <w:b/>
          <w:bCs/>
          <w:w w:val="105"/>
          <w:sz w:val="28"/>
          <w:szCs w:val="28"/>
          <w:lang w:val="ro-RO"/>
        </w:rPr>
        <w:t xml:space="preserve">100 </w:t>
      </w:r>
      <w:r>
        <w:rPr>
          <w:b/>
          <w:bCs/>
          <w:w w:val="105"/>
          <w:sz w:val="28"/>
          <w:szCs w:val="28"/>
        </w:rPr>
        <w:t>din 1</w:t>
      </w:r>
      <w:r>
        <w:rPr>
          <w:rFonts w:hint="default"/>
          <w:b/>
          <w:bCs/>
          <w:w w:val="105"/>
          <w:sz w:val="28"/>
          <w:szCs w:val="28"/>
          <w:lang w:val="ro-RO"/>
        </w:rPr>
        <w:t>7</w:t>
      </w:r>
      <w:r>
        <w:rPr>
          <w:b/>
          <w:bCs/>
          <w:w w:val="105"/>
          <w:sz w:val="28"/>
          <w:szCs w:val="28"/>
        </w:rPr>
        <w:t>.12.202</w:t>
      </w:r>
      <w:r>
        <w:rPr>
          <w:rFonts w:hint="default"/>
          <w:b/>
          <w:bCs/>
          <w:w w:val="105"/>
          <w:sz w:val="28"/>
          <w:szCs w:val="28"/>
          <w:lang w:val="ro-RO"/>
        </w:rPr>
        <w:t>5</w:t>
      </w:r>
      <w:r>
        <w:rPr>
          <w:b/>
          <w:bCs/>
          <w:w w:val="105"/>
          <w:sz w:val="28"/>
          <w:szCs w:val="28"/>
        </w:rPr>
        <w:t>.</w:t>
      </w:r>
    </w:p>
    <w:p w14:paraId="06CF3CBD">
      <w:pPr>
        <w:jc w:val="center"/>
        <w:rPr>
          <w:b/>
          <w:bCs/>
          <w:w w:val="105"/>
          <w:sz w:val="16"/>
          <w:szCs w:val="16"/>
        </w:rPr>
      </w:pPr>
    </w:p>
    <w:p w14:paraId="6BD5B542">
      <w:pPr>
        <w:ind w:right="142"/>
        <w:jc w:val="center"/>
        <w:rPr>
          <w:rFonts w:eastAsia="Calibri"/>
        </w:rPr>
      </w:pPr>
      <w:r>
        <w:rPr>
          <w:rFonts w:eastAsia="Calibri"/>
        </w:rPr>
        <w:t xml:space="preserve">privind stabilirea impozitelor și taxelor locale, precum și a taxelor speciale, </w:t>
      </w:r>
    </w:p>
    <w:p w14:paraId="009786E9">
      <w:pPr>
        <w:ind w:right="142"/>
        <w:jc w:val="center"/>
        <w:rPr>
          <w:rFonts w:eastAsia="Calibri"/>
        </w:rPr>
      </w:pPr>
      <w:r>
        <w:rPr>
          <w:rFonts w:eastAsia="Calibri"/>
        </w:rPr>
        <w:t>pentru anul 202</w:t>
      </w:r>
      <w:r>
        <w:rPr>
          <w:rFonts w:hint="default" w:eastAsia="Calibri"/>
          <w:lang w:val="ro-RO"/>
        </w:rPr>
        <w:t>6</w:t>
      </w:r>
      <w:r>
        <w:rPr>
          <w:rFonts w:eastAsia="Calibri"/>
        </w:rPr>
        <w:t>, în Comuna Sânpetru Mare, județul Timiș</w:t>
      </w:r>
    </w:p>
    <w:p w14:paraId="27F3B465">
      <w:pPr>
        <w:rPr>
          <w:bCs/>
          <w:w w:val="105"/>
        </w:rPr>
      </w:pPr>
    </w:p>
    <w:p w14:paraId="09319560">
      <w:pPr>
        <w:autoSpaceDE w:val="0"/>
        <w:autoSpaceDN w:val="0"/>
        <w:adjustRightInd w:val="0"/>
        <w:ind w:firstLine="567"/>
        <w:jc w:val="both"/>
        <w:rPr>
          <w:b/>
          <w:kern w:val="24"/>
        </w:rPr>
      </w:pPr>
      <w:bookmarkStart w:id="0" w:name="_Hlk153641338"/>
      <w:r>
        <w:rPr>
          <w:bCs/>
          <w:kern w:val="24"/>
        </w:rPr>
        <w:tab/>
      </w:r>
      <w:r>
        <w:rPr>
          <w:b/>
          <w:kern w:val="24"/>
        </w:rPr>
        <w:t>Consiliul Local al Comunei SÂNPETRU MARE, județul Timiș întrunit în ședință ordinară de dată de 1</w:t>
      </w:r>
      <w:r>
        <w:rPr>
          <w:rFonts w:hint="default"/>
          <w:b/>
          <w:kern w:val="24"/>
          <w:lang w:val="ro-RO"/>
        </w:rPr>
        <w:t>7</w:t>
      </w:r>
      <w:r>
        <w:rPr>
          <w:b/>
          <w:kern w:val="24"/>
        </w:rPr>
        <w:t>.12.202</w:t>
      </w:r>
      <w:r>
        <w:rPr>
          <w:rFonts w:hint="default"/>
          <w:b/>
          <w:kern w:val="24"/>
          <w:lang w:val="ro-RO"/>
        </w:rPr>
        <w:t>5</w:t>
      </w:r>
      <w:r>
        <w:rPr>
          <w:b/>
          <w:kern w:val="24"/>
        </w:rPr>
        <w:t>, legal constituită,</w:t>
      </w:r>
    </w:p>
    <w:bookmarkEnd w:id="0"/>
    <w:p w14:paraId="4E7D49DC">
      <w:pPr>
        <w:rPr>
          <w:bCs/>
          <w:kern w:val="24"/>
        </w:rPr>
      </w:pPr>
    </w:p>
    <w:p w14:paraId="6B98AB8A">
      <w:pPr>
        <w:tabs>
          <w:tab w:val="left" w:pos="709"/>
        </w:tabs>
        <w:ind w:firstLine="567"/>
        <w:jc w:val="both"/>
        <w:rPr>
          <w:i/>
          <w:kern w:val="24"/>
        </w:rPr>
      </w:pPr>
      <w:r>
        <w:rPr>
          <w:i/>
          <w:kern w:val="24"/>
          <w:u w:val="single"/>
        </w:rPr>
        <w:t>Având în vedere</w:t>
      </w:r>
      <w:r>
        <w:rPr>
          <w:i/>
          <w:kern w:val="24"/>
        </w:rPr>
        <w:t>:</w:t>
      </w:r>
    </w:p>
    <w:p w14:paraId="219DCD57">
      <w:pPr>
        <w:pStyle w:val="15"/>
        <w:numPr>
          <w:ilvl w:val="0"/>
          <w:numId w:val="1"/>
        </w:numPr>
        <w:spacing w:after="0" w:line="240" w:lineRule="auto"/>
        <w:ind w:left="0" w:firstLine="561"/>
        <w:jc w:val="both"/>
        <w:rPr>
          <w:rFonts w:ascii="Times New Roman" w:hAnsi="Times New Roman" w:cs="Times New Roman"/>
          <w:sz w:val="24"/>
          <w:szCs w:val="24"/>
        </w:rPr>
      </w:pPr>
      <w:bookmarkStart w:id="1" w:name="_Hlk182476747"/>
      <w:r>
        <w:rPr>
          <w:rFonts w:ascii="Times New Roman" w:hAnsi="Times New Roman" w:cs="Times New Roman"/>
          <w:sz w:val="24"/>
          <w:szCs w:val="24"/>
        </w:rPr>
        <w:t>Referatul de aprobare nr.</w:t>
      </w:r>
      <w:r>
        <w:rPr>
          <w:rFonts w:hint="default" w:ascii="Times New Roman" w:hAnsi="Times New Roman" w:cs="Times New Roman"/>
          <w:sz w:val="24"/>
          <w:szCs w:val="24"/>
          <w:lang w:val="ro-RO"/>
        </w:rPr>
        <w:t xml:space="preserve">4915 </w:t>
      </w:r>
      <w:r>
        <w:rPr>
          <w:rFonts w:ascii="Times New Roman" w:hAnsi="Times New Roman" w:cs="Times New Roman"/>
          <w:sz w:val="24"/>
          <w:szCs w:val="24"/>
        </w:rPr>
        <w:t xml:space="preserve">din </w:t>
      </w:r>
      <w:r>
        <w:rPr>
          <w:rFonts w:hint="default" w:ascii="Times New Roman" w:hAnsi="Times New Roman" w:cs="Times New Roman"/>
          <w:sz w:val="24"/>
          <w:szCs w:val="24"/>
          <w:lang w:val="ro-RO"/>
        </w:rPr>
        <w:t>3</w:t>
      </w:r>
      <w:r>
        <w:rPr>
          <w:rFonts w:ascii="Times New Roman" w:hAnsi="Times New Roman" w:cs="Times New Roman"/>
          <w:sz w:val="24"/>
          <w:szCs w:val="24"/>
        </w:rPr>
        <w:t>0.1</w:t>
      </w:r>
      <w:r>
        <w:rPr>
          <w:rFonts w:hint="default" w:ascii="Times New Roman" w:hAnsi="Times New Roman" w:cs="Times New Roman"/>
          <w:sz w:val="24"/>
          <w:szCs w:val="24"/>
          <w:lang w:val="ro-RO"/>
        </w:rPr>
        <w:t>0</w:t>
      </w:r>
      <w:r>
        <w:rPr>
          <w:rFonts w:ascii="Times New Roman" w:hAnsi="Times New Roman" w:cs="Times New Roman"/>
          <w:sz w:val="24"/>
          <w:szCs w:val="24"/>
        </w:rPr>
        <w:t>.202</w:t>
      </w:r>
      <w:r>
        <w:rPr>
          <w:rFonts w:hint="default" w:ascii="Times New Roman" w:hAnsi="Times New Roman" w:cs="Times New Roman"/>
          <w:sz w:val="24"/>
          <w:szCs w:val="24"/>
          <w:lang w:val="ro-RO"/>
        </w:rPr>
        <w:t>5</w:t>
      </w:r>
      <w:r>
        <w:rPr>
          <w:rFonts w:ascii="Times New Roman" w:hAnsi="Times New Roman" w:cs="Times New Roman"/>
          <w:sz w:val="24"/>
          <w:szCs w:val="24"/>
        </w:rPr>
        <w:t>, al dlui. primar al comunei Sânpetru Mare, în calitate de inițiator al proiectului</w:t>
      </w:r>
    </w:p>
    <w:p w14:paraId="3DDB5973">
      <w:pPr>
        <w:pStyle w:val="15"/>
        <w:numPr>
          <w:ilvl w:val="0"/>
          <w:numId w:val="1"/>
        </w:numPr>
        <w:spacing w:after="0" w:line="240" w:lineRule="auto"/>
        <w:ind w:left="0" w:right="86" w:firstLine="561"/>
        <w:jc w:val="both"/>
        <w:rPr>
          <w:rFonts w:ascii="Times New Roman" w:hAnsi="Times New Roman" w:cs="Times New Roman"/>
          <w:sz w:val="24"/>
          <w:szCs w:val="24"/>
        </w:rPr>
      </w:pPr>
      <w:r>
        <w:rPr>
          <w:rFonts w:ascii="Times New Roman" w:hAnsi="Times New Roman" w:cs="Times New Roman"/>
          <w:sz w:val="24"/>
          <w:szCs w:val="24"/>
        </w:rPr>
        <w:t>Raport de specialitate nr.</w:t>
      </w:r>
      <w:r>
        <w:rPr>
          <w:rFonts w:hint="default" w:ascii="Times New Roman" w:hAnsi="Times New Roman" w:cs="Times New Roman"/>
          <w:sz w:val="24"/>
          <w:szCs w:val="24"/>
          <w:lang w:val="ro-RO"/>
        </w:rPr>
        <w:t xml:space="preserve">4915.1 </w:t>
      </w:r>
      <w:r>
        <w:rPr>
          <w:rFonts w:ascii="Times New Roman" w:hAnsi="Times New Roman" w:cs="Times New Roman"/>
          <w:sz w:val="24"/>
          <w:szCs w:val="24"/>
        </w:rPr>
        <w:t xml:space="preserve">din </w:t>
      </w:r>
      <w:r>
        <w:rPr>
          <w:rFonts w:hint="default" w:ascii="Times New Roman" w:hAnsi="Times New Roman" w:cs="Times New Roman"/>
          <w:sz w:val="24"/>
          <w:szCs w:val="24"/>
          <w:lang w:val="ro-RO"/>
        </w:rPr>
        <w:t>30</w:t>
      </w:r>
      <w:r>
        <w:rPr>
          <w:rFonts w:ascii="Times New Roman" w:hAnsi="Times New Roman" w:cs="Times New Roman"/>
          <w:sz w:val="24"/>
          <w:szCs w:val="24"/>
        </w:rPr>
        <w:t>.</w:t>
      </w:r>
      <w:r>
        <w:rPr>
          <w:rFonts w:hint="default" w:ascii="Times New Roman" w:hAnsi="Times New Roman" w:cs="Times New Roman"/>
          <w:sz w:val="24"/>
          <w:szCs w:val="24"/>
          <w:lang w:val="ro-RO"/>
        </w:rPr>
        <w:t>1</w:t>
      </w:r>
      <w:r>
        <w:rPr>
          <w:rFonts w:ascii="Times New Roman" w:hAnsi="Times New Roman" w:cs="Times New Roman"/>
          <w:sz w:val="24"/>
          <w:szCs w:val="24"/>
        </w:rPr>
        <w:t>0.202</w:t>
      </w:r>
      <w:r>
        <w:rPr>
          <w:rFonts w:hint="default" w:ascii="Times New Roman" w:hAnsi="Times New Roman" w:cs="Times New Roman"/>
          <w:sz w:val="24"/>
          <w:szCs w:val="24"/>
          <w:lang w:val="ro-RO"/>
        </w:rPr>
        <w:t>5</w:t>
      </w:r>
      <w:r>
        <w:rPr>
          <w:rFonts w:ascii="Times New Roman" w:hAnsi="Times New Roman" w:cs="Times New Roman"/>
          <w:sz w:val="24"/>
          <w:szCs w:val="24"/>
        </w:rPr>
        <w:t xml:space="preserve"> al Compartimentului Impozite și Taxe din cadrul Primăriei Comunei Sânpetru Mare</w:t>
      </w:r>
      <w:r>
        <w:rPr>
          <w:rFonts w:hint="default" w:ascii="Times New Roman" w:hAnsi="Times New Roman" w:cs="Times New Roman"/>
          <w:sz w:val="24"/>
          <w:szCs w:val="24"/>
          <w:lang w:val="ro-RO"/>
        </w:rPr>
        <w:t xml:space="preserve"> completar cu referatul nr.6047 din 17.12.2025.</w:t>
      </w:r>
      <w:r>
        <w:rPr>
          <w:rFonts w:ascii="Times New Roman" w:hAnsi="Times New Roman" w:cs="Times New Roman"/>
          <w:sz w:val="24"/>
          <w:szCs w:val="24"/>
        </w:rPr>
        <w:t xml:space="preserve"> </w:t>
      </w:r>
    </w:p>
    <w:bookmarkEnd w:id="1"/>
    <w:p w14:paraId="23035843">
      <w:pPr>
        <w:numPr>
          <w:ilvl w:val="0"/>
          <w:numId w:val="1"/>
        </w:numPr>
        <w:spacing w:line="261" w:lineRule="auto"/>
        <w:ind w:left="709" w:right="91" w:hanging="148"/>
        <w:jc w:val="both"/>
      </w:pPr>
      <w:r>
        <w:t>anunțul dezbatere publică</w:t>
      </w:r>
      <w:r>
        <w:rPr>
          <w:rFonts w:hint="default"/>
          <w:lang w:val="ro-RO"/>
        </w:rPr>
        <w:t xml:space="preserve"> nr.4933</w:t>
      </w:r>
      <w:r>
        <w:t xml:space="preserve">, publicat pe situl Primăriei </w:t>
      </w:r>
      <w:r>
        <w:rPr>
          <w:color w:val="000000" w:themeColor="text1"/>
          <w14:textFill>
            <w14:solidFill>
              <w14:schemeClr w14:val="tx1"/>
            </w14:solidFill>
          </w14:textFill>
        </w:rPr>
        <w:t>în data de</w:t>
      </w:r>
      <w:r>
        <w:rPr>
          <w:rFonts w:hint="default"/>
          <w:color w:val="000000" w:themeColor="text1"/>
          <w:lang w:val="ro-RO"/>
          <w14:textFill>
            <w14:solidFill>
              <w14:schemeClr w14:val="tx1"/>
            </w14:solidFill>
          </w14:textFill>
        </w:rPr>
        <w:t xml:space="preserve"> 3</w:t>
      </w:r>
      <w:r>
        <w:rPr>
          <w:color w:val="000000" w:themeColor="text1"/>
          <w14:textFill>
            <w14:solidFill>
              <w14:schemeClr w14:val="tx1"/>
            </w14:solidFill>
          </w14:textFill>
        </w:rPr>
        <w:t>0.</w:t>
      </w:r>
      <w:r>
        <w:rPr>
          <w:rFonts w:hint="default"/>
          <w:color w:val="000000" w:themeColor="text1"/>
          <w:lang w:val="ro-RO"/>
          <w14:textFill>
            <w14:solidFill>
              <w14:schemeClr w14:val="tx1"/>
            </w14:solidFill>
          </w14:textFill>
        </w:rPr>
        <w:t>1</w:t>
      </w:r>
      <w:r>
        <w:rPr>
          <w:color w:val="000000" w:themeColor="text1"/>
          <w14:textFill>
            <w14:solidFill>
              <w14:schemeClr w14:val="tx1"/>
            </w14:solidFill>
          </w14:textFill>
        </w:rPr>
        <w:t>0.202</w:t>
      </w:r>
      <w:r>
        <w:rPr>
          <w:rFonts w:hint="default"/>
          <w:color w:val="000000" w:themeColor="text1"/>
          <w:lang w:val="ro-RO"/>
          <w14:textFill>
            <w14:solidFill>
              <w14:schemeClr w14:val="tx1"/>
            </w14:solidFill>
          </w14:textFill>
        </w:rPr>
        <w:t>5</w:t>
      </w:r>
      <w:r>
        <w:t>.</w:t>
      </w:r>
    </w:p>
    <w:p w14:paraId="525DC0C1">
      <w:pPr>
        <w:pStyle w:val="15"/>
        <w:numPr>
          <w:ilvl w:val="0"/>
          <w:numId w:val="1"/>
        </w:numPr>
        <w:spacing w:after="0" w:line="240" w:lineRule="auto"/>
        <w:ind w:left="0" w:firstLine="561"/>
        <w:jc w:val="both"/>
        <w:rPr>
          <w:rFonts w:ascii="Times New Roman" w:hAnsi="Times New Roman" w:cs="Times New Roman"/>
          <w:sz w:val="24"/>
          <w:szCs w:val="24"/>
        </w:rPr>
      </w:pPr>
      <w:r>
        <w:rPr>
          <w:rFonts w:ascii="Times New Roman" w:hAnsi="Times New Roman" w:cs="Times New Roman"/>
          <w:sz w:val="24"/>
          <w:szCs w:val="24"/>
        </w:rPr>
        <w:t>art.491, alin.1, din Legea nr.227/2015 privind Codul Fiscal, cu modificările și comple</w:t>
      </w:r>
      <w:r>
        <w:rPr>
          <w:rFonts w:hint="default" w:ascii="Times New Roman" w:hAnsi="Times New Roman" w:cs="Times New Roman"/>
          <w:sz w:val="24"/>
          <w:szCs w:val="24"/>
          <w:lang w:val="ro-RO"/>
        </w:rPr>
        <w:t>-</w:t>
      </w:r>
      <w:r>
        <w:rPr>
          <w:rFonts w:ascii="Times New Roman" w:hAnsi="Times New Roman" w:cs="Times New Roman"/>
          <w:sz w:val="24"/>
          <w:szCs w:val="24"/>
        </w:rPr>
        <w:t>tările ulterioare, care prevede faptul că, în cazul oricărui impozit sau oricărei taxe locale, care constă într-o anumită sumă în lei sau care este stabilită pe baza unei anumite sume în lei, sumele respective se indexează anual, până la 30 aprilie ținând cont de rata inflației pentru anul fiscal anterior, comunicată pe site-urile oficiale ale Ministerului Finanțelor Publice și Ministerului Dezvoltării Regionale și Administrației Publice.</w:t>
      </w:r>
    </w:p>
    <w:p w14:paraId="71B891B7">
      <w:pPr>
        <w:pStyle w:val="8"/>
        <w:numPr>
          <w:ilvl w:val="0"/>
          <w:numId w:val="1"/>
        </w:numPr>
        <w:spacing w:after="0" w:line="240" w:lineRule="auto"/>
        <w:ind w:left="0" w:firstLine="561"/>
        <w:jc w:val="both"/>
      </w:pPr>
      <w:r>
        <w:t xml:space="preserve">Potrivit datelor publicate pe site-ul Ministerului Finanțelor </w:t>
      </w:r>
      <w:r>
        <w:rPr>
          <w:i/>
        </w:rPr>
        <w:t>”Pentru indexarea impozi</w:t>
      </w:r>
      <w:r>
        <w:rPr>
          <w:rFonts w:hint="default"/>
          <w:i/>
          <w:lang w:val="ro-RO"/>
        </w:rPr>
        <w:t>-</w:t>
      </w:r>
      <w:r>
        <w:rPr>
          <w:i/>
        </w:rPr>
        <w:t xml:space="preserve">telor și taxelor locale aferente anului </w:t>
      </w:r>
      <w:r>
        <w:rPr>
          <w:b/>
          <w:i/>
        </w:rPr>
        <w:t>202</w:t>
      </w:r>
      <w:r>
        <w:rPr>
          <w:rFonts w:hint="default"/>
          <w:b/>
          <w:i/>
          <w:lang w:val="ro-RO"/>
        </w:rPr>
        <w:t>6</w:t>
      </w:r>
      <w:r>
        <w:rPr>
          <w:i/>
        </w:rPr>
        <w:t xml:space="preserve">, Consiliile Locale vor utiliza rata inflației de </w:t>
      </w:r>
      <w:r>
        <w:rPr>
          <w:rFonts w:hint="default"/>
          <w:i/>
          <w:lang w:val="ro-RO"/>
        </w:rPr>
        <w:t>5</w:t>
      </w:r>
      <w:r>
        <w:rPr>
          <w:i/>
        </w:rPr>
        <w:t>,</w:t>
      </w:r>
      <w:r>
        <w:rPr>
          <w:rFonts w:hint="default"/>
          <w:i/>
          <w:lang w:val="ro-RO"/>
        </w:rPr>
        <w:t>6</w:t>
      </w:r>
      <w:r>
        <w:rPr>
          <w:i/>
        </w:rPr>
        <w:t xml:space="preserve"> %”</w:t>
      </w:r>
      <w:r>
        <w:t>.</w:t>
      </w:r>
    </w:p>
    <w:p w14:paraId="10715ED5">
      <w:pPr>
        <w:tabs>
          <w:tab w:val="left" w:pos="567"/>
        </w:tabs>
        <w:ind w:firstLine="567"/>
        <w:jc w:val="both"/>
        <w:rPr>
          <w:rFonts w:eastAsia="Calibri"/>
          <w:shd w:val="clear" w:color="auto" w:fill="FFFFFF"/>
          <w:lang w:eastAsia="ar-SA"/>
        </w:rPr>
      </w:pPr>
      <w:r>
        <w:rPr>
          <w:rFonts w:eastAsia="Calibri"/>
          <w:lang w:eastAsia="ar-SA"/>
        </w:rPr>
        <w:t xml:space="preserve">- Avizul favorabil al comisiei de specialitate al Consiliului Local al Comunei </w:t>
      </w:r>
      <w:r>
        <w:t>Sânpetru Mare</w:t>
      </w:r>
      <w:r>
        <w:rPr>
          <w:rFonts w:eastAsia="Calibri"/>
          <w:lang w:eastAsia="ar-SA"/>
        </w:rPr>
        <w:t>,</w:t>
      </w:r>
      <w:r>
        <w:rPr>
          <w:rFonts w:eastAsia="Calibri"/>
          <w:shd w:val="clear" w:color="auto" w:fill="FFFFFF"/>
          <w:lang w:eastAsia="ar-SA"/>
        </w:rPr>
        <w:t> îndeplinind condiția de la art.136, alin.(8), lit.c), din Ordonanța de Urgență a Guvernului nr.57/2019, privind Codul administrativ</w:t>
      </w:r>
    </w:p>
    <w:p w14:paraId="732B6826">
      <w:pPr>
        <w:tabs>
          <w:tab w:val="left" w:pos="567"/>
        </w:tabs>
        <w:ind w:firstLine="567"/>
        <w:jc w:val="both"/>
        <w:rPr>
          <w:i/>
          <w:kern w:val="24"/>
        </w:rPr>
      </w:pPr>
      <w:r>
        <w:rPr>
          <w:i/>
          <w:iCs/>
          <w:kern w:val="24"/>
          <w:u w:val="single"/>
        </w:rPr>
        <w:t>În conformitate cu prevederile</w:t>
      </w:r>
      <w:r>
        <w:rPr>
          <w:i/>
          <w:kern w:val="24"/>
        </w:rPr>
        <w:t>:</w:t>
      </w:r>
    </w:p>
    <w:p w14:paraId="09E8DACF">
      <w:pPr>
        <w:pStyle w:val="7"/>
        <w:spacing w:after="0"/>
        <w:ind w:left="142" w:hanging="142"/>
        <w:jc w:val="both"/>
      </w:pPr>
      <w:r>
        <w:rPr>
          <w:bCs/>
        </w:rPr>
        <w:t xml:space="preserve">- </w:t>
      </w:r>
      <w:r>
        <w:t>art.56, art.120, alin.(l), art.121, alin.(l) și (2) și art.139, alin.(2) din Constituția României, republicată;</w:t>
      </w:r>
    </w:p>
    <w:p w14:paraId="451EDFE3">
      <w:pPr>
        <w:pStyle w:val="7"/>
        <w:spacing w:after="0"/>
        <w:ind w:left="142" w:hanging="142"/>
        <w:jc w:val="both"/>
      </w:pPr>
      <w:r>
        <w:t>- art.4 și art.9, paragraful 3, din Carta europeană a autonomiei locale, adoptată la Strasbourg la 15 octombrie 1985, ratificată prin Legea nr.199/1997</w:t>
      </w:r>
    </w:p>
    <w:p w14:paraId="4C7FD324">
      <w:pPr>
        <w:pStyle w:val="7"/>
        <w:spacing w:after="0"/>
        <w:ind w:left="142" w:hanging="142"/>
        <w:jc w:val="both"/>
        <w:rPr>
          <w:bCs/>
        </w:rPr>
      </w:pPr>
      <w:r>
        <w:t xml:space="preserve">- </w:t>
      </w:r>
      <w:r>
        <w:rPr>
          <w:bCs/>
        </w:rPr>
        <w:t>art.7, alin.(2) din Legea nr.287/2009, privind Codul civil, cu modificările și completările ulterioare,</w:t>
      </w:r>
    </w:p>
    <w:p w14:paraId="5ED3F773">
      <w:pPr>
        <w:pStyle w:val="7"/>
        <w:spacing w:after="0"/>
        <w:ind w:left="142" w:hanging="142"/>
        <w:jc w:val="both"/>
        <w:rPr>
          <w:bCs/>
        </w:rPr>
      </w:pPr>
      <w:r>
        <w:rPr>
          <w:bCs/>
        </w:rPr>
        <w:t>- art.5, alin.(1) lit.a) și alin.(2), art.16 alin.2, art.20, art.26, art.27 și art.30 și art.76, alin.(2) și (3) din Legea nr.273/2006 privind finanțele publice locale, cu modificările ulterioare;</w:t>
      </w:r>
    </w:p>
    <w:p w14:paraId="04C8DBC9">
      <w:pPr>
        <w:ind w:left="142" w:hanging="142"/>
        <w:jc w:val="both"/>
        <w:rPr>
          <w:bCs/>
        </w:rPr>
      </w:pPr>
      <w:r>
        <w:rPr>
          <w:bCs/>
        </w:rPr>
        <w:t>-  art.7, alin.13, din Legea nr.52/2003 privind transparenta decizionala in administrația publică și a Legii nr.544/2001 privind accesul liber la informațiile de interes public;</w:t>
      </w:r>
    </w:p>
    <w:p w14:paraId="28A45BCD">
      <w:pPr>
        <w:pStyle w:val="7"/>
        <w:spacing w:after="0"/>
        <w:ind w:left="142" w:hanging="142"/>
        <w:jc w:val="both"/>
        <w:rPr>
          <w:bCs/>
        </w:rPr>
      </w:pPr>
      <w:r>
        <w:rPr>
          <w:bCs/>
        </w:rPr>
        <w:t>- Legii nr.127/2013, privind aprobarea ordonanței de urgenta a Guvernului nr. 121/2011 ;</w:t>
      </w:r>
    </w:p>
    <w:p w14:paraId="4462A0A3">
      <w:pPr>
        <w:pStyle w:val="7"/>
        <w:spacing w:after="0"/>
        <w:ind w:left="142" w:hanging="142"/>
        <w:jc w:val="both"/>
        <w:rPr>
          <w:bCs/>
        </w:rPr>
      </w:pPr>
      <w:r>
        <w:rPr>
          <w:bCs/>
        </w:rPr>
        <w:t>- art.1, art.2 alin.(1)</w:t>
      </w:r>
      <w:r>
        <w:rPr>
          <w:rFonts w:hint="default"/>
          <w:bCs/>
          <w:lang w:val="ro-RO"/>
        </w:rPr>
        <w:t>,</w:t>
      </w:r>
      <w:r>
        <w:rPr>
          <w:bCs/>
        </w:rPr>
        <w:t xml:space="preserve"> lit. h), precum și pe cele ale titlului IX, în special art.491 și art.495, lit.e) din Legea nr.227/2015 privind Codul fiscal, cu completările ulterioare;</w:t>
      </w:r>
    </w:p>
    <w:p w14:paraId="16B96CE7">
      <w:pPr>
        <w:pStyle w:val="7"/>
        <w:spacing w:after="0"/>
        <w:ind w:left="142" w:hanging="142"/>
        <w:jc w:val="both"/>
      </w:pPr>
      <w:r>
        <w:rPr>
          <w:bCs/>
        </w:rPr>
        <w:t xml:space="preserve">- </w:t>
      </w:r>
      <w:r>
        <w:t>art.19 și art.20, din Ordonanța Guvernului nr.71/2002</w:t>
      </w:r>
      <w:r>
        <w:rPr>
          <w:rFonts w:hint="default"/>
          <w:lang w:val="ro-RO"/>
        </w:rPr>
        <w:t>,</w:t>
      </w:r>
      <w:r>
        <w:t xml:space="preserve"> privind organizarea și funcționarea serviciilor publice de administrare a domeniului public și privat de interes local, aprobată cu modificări și completări prin Legea nr.3/2003, cu modificările ulterioare</w:t>
      </w:r>
    </w:p>
    <w:p w14:paraId="62938BAB">
      <w:pPr>
        <w:pStyle w:val="7"/>
        <w:spacing w:after="0"/>
        <w:ind w:left="142" w:hanging="142"/>
        <w:jc w:val="both"/>
        <w:rPr>
          <w:rFonts w:hint="default"/>
          <w:bCs/>
          <w:lang w:val="ro-RO"/>
        </w:rPr>
      </w:pPr>
      <w:r>
        <w:t xml:space="preserve">- </w:t>
      </w:r>
      <w:r>
        <w:rPr>
          <w:bCs/>
        </w:rPr>
        <w:t>Lege</w:t>
      </w:r>
      <w:r>
        <w:rPr>
          <w:rFonts w:hint="default"/>
          <w:bCs/>
          <w:lang w:val="ro-RO"/>
        </w:rPr>
        <w:t>ii</w:t>
      </w:r>
      <w:r>
        <w:rPr>
          <w:bCs/>
        </w:rPr>
        <w:t xml:space="preserve"> nr.207/2015 privind Codul de procedură fiscală</w:t>
      </w:r>
      <w:r>
        <w:rPr>
          <w:rFonts w:hint="default"/>
          <w:bCs/>
          <w:lang w:val="ro-RO"/>
        </w:rPr>
        <w:t>, actualizata cu Legea nr.239/2025</w:t>
      </w:r>
    </w:p>
    <w:p w14:paraId="51621056">
      <w:pPr>
        <w:pStyle w:val="7"/>
        <w:spacing w:after="0"/>
        <w:ind w:left="142" w:hanging="142"/>
        <w:jc w:val="both"/>
      </w:pPr>
      <w:r>
        <w:rPr>
          <w:bCs/>
        </w:rPr>
        <w:t xml:space="preserve">- </w:t>
      </w:r>
      <w:r>
        <w:t xml:space="preserve">art.5 din Legea cadastrului și publicității imobiliare nr.7/1996, republicată, cu modificările și completările ulterioare; </w:t>
      </w:r>
    </w:p>
    <w:p w14:paraId="3A199EB1">
      <w:pPr>
        <w:pStyle w:val="7"/>
        <w:spacing w:after="0"/>
        <w:ind w:left="142" w:hanging="142"/>
        <w:jc w:val="both"/>
        <w:rPr>
          <w:bCs/>
        </w:rPr>
      </w:pPr>
      <w:r>
        <w:t>- art.20 și art.30 din Legea nr 273/2006, privind finanțele publice locale</w:t>
      </w:r>
    </w:p>
    <w:p w14:paraId="03E9B1EA">
      <w:pPr>
        <w:pStyle w:val="30"/>
        <w:ind w:left="142" w:hanging="142"/>
        <w:jc w:val="both"/>
        <w:rPr>
          <w:lang w:val="ro-RO"/>
        </w:rPr>
      </w:pPr>
      <w:r>
        <w:rPr>
          <w:bCs/>
          <w:lang w:val="ro-RO"/>
        </w:rPr>
        <w:t>- prevederile Regulamentului de organizare și funcționare al Consiliului Local</w:t>
      </w:r>
      <w:r>
        <w:rPr>
          <w:lang w:val="ro-RO"/>
        </w:rPr>
        <w:t>;</w:t>
      </w:r>
    </w:p>
    <w:p w14:paraId="375B07AB">
      <w:pPr>
        <w:ind w:right="202" w:firstLine="561"/>
        <w:jc w:val="both"/>
      </w:pPr>
      <w:r>
        <w:t>In temeiul alt. 129</w:t>
      </w:r>
      <w:r>
        <w:rPr>
          <w:rFonts w:hint="default"/>
          <w:lang w:val="ro-RO"/>
        </w:rPr>
        <w:t>,</w:t>
      </w:r>
      <w:r>
        <w:t xml:space="preserve"> alin.(l), alin.(2), lit.b) alin.(4), lit.c), alin.(14), a</w:t>
      </w:r>
      <w:r>
        <w:rPr>
          <w:rFonts w:hint="default"/>
          <w:lang w:val="ro-RO"/>
        </w:rPr>
        <w:t>r</w:t>
      </w:r>
      <w:r>
        <w:t>t.136, art.139</w:t>
      </w:r>
      <w:r>
        <w:rPr>
          <w:rFonts w:hint="default"/>
          <w:lang w:val="ro-RO"/>
        </w:rPr>
        <w:t>,</w:t>
      </w:r>
      <w:r>
        <w:t xml:space="preserve"> alin.(l), alin.(3), lit.c) și alin.(5) și </w:t>
      </w:r>
      <w:r>
        <w:rPr>
          <w:rFonts w:hint="default"/>
          <w:lang w:val="ro-RO"/>
        </w:rPr>
        <w:t>art</w:t>
      </w:r>
      <w:r>
        <w:t>.196</w:t>
      </w:r>
      <w:r>
        <w:rPr>
          <w:rFonts w:hint="default"/>
          <w:lang w:val="ro-RO"/>
        </w:rPr>
        <w:t>,</w:t>
      </w:r>
      <w:r>
        <w:t xml:space="preserve"> alin.(l), lit.a) din Ordonanța de Urgență a Guvernului nr.57/2019 privind Codul administrativ cu completările ulterioare, adoptă următoarea:</w:t>
      </w:r>
    </w:p>
    <w:p w14:paraId="5C971601">
      <w:pPr>
        <w:keepNext/>
        <w:jc w:val="both"/>
        <w:outlineLvl w:val="0"/>
        <w:rPr>
          <w:rFonts w:ascii="Tahoma" w:hAnsi="Tahoma" w:cs="Tahoma"/>
          <w:kern w:val="24"/>
          <w:lang w:eastAsia="en-US"/>
        </w:rPr>
      </w:pPr>
    </w:p>
    <w:p w14:paraId="71F37812">
      <w:pPr>
        <w:jc w:val="center"/>
        <w:rPr>
          <w:rFonts w:hint="default" w:ascii="Times New Roman" w:hAnsi="Times New Roman" w:cs="Times New Roman"/>
          <w:b/>
          <w:bCs/>
          <w:kern w:val="24"/>
          <w:sz w:val="28"/>
          <w:szCs w:val="28"/>
        </w:rPr>
      </w:pPr>
      <w:bookmarkStart w:id="2" w:name="_Hlk153641462"/>
      <w:r>
        <w:rPr>
          <w:rFonts w:hint="default" w:ascii="Times New Roman" w:hAnsi="Times New Roman" w:cs="Times New Roman"/>
          <w:b/>
          <w:bCs/>
          <w:kern w:val="24"/>
          <w:sz w:val="28"/>
          <w:szCs w:val="28"/>
        </w:rPr>
        <w:t>H O T Ă R Â R E:</w:t>
      </w:r>
    </w:p>
    <w:bookmarkEnd w:id="2"/>
    <w:p w14:paraId="24523C35">
      <w:pPr>
        <w:jc w:val="center"/>
        <w:rPr>
          <w:rFonts w:ascii="Tahoma" w:hAnsi="Tahoma" w:cs="Tahoma"/>
          <w:b/>
          <w:bCs/>
          <w:kern w:val="24"/>
        </w:rPr>
      </w:pPr>
      <w:bookmarkStart w:id="3" w:name="_GoBack"/>
      <w:bookmarkEnd w:id="3"/>
    </w:p>
    <w:p w14:paraId="4FDF8159">
      <w:pPr>
        <w:ind w:firstLine="567"/>
        <w:jc w:val="both"/>
      </w:pPr>
      <w:r>
        <w:rPr>
          <w:b/>
          <w:bCs/>
          <w:i/>
          <w:iCs/>
          <w:u w:val="single" w:color="000000"/>
        </w:rPr>
        <w:t>Art.1</w:t>
      </w:r>
      <w:r>
        <w:rPr>
          <w:b/>
          <w:bCs/>
          <w:u w:val="single" w:color="000000"/>
        </w:rPr>
        <w:t>.</w:t>
      </w:r>
      <w:r>
        <w:t xml:space="preserve"> (1) Se stabilesc valorile impozabile, cotele de impozitare, impozitele și taxele locale precum și amenzile stabilite în sume fixe sau cote procentuale aplicabile în anul 202</w:t>
      </w:r>
      <w:r>
        <w:rPr>
          <w:rFonts w:hint="default"/>
          <w:lang w:val="ro-RO"/>
        </w:rPr>
        <w:t>6</w:t>
      </w:r>
      <w:r>
        <w:t>, în Comuna Sânpetru Mare, județul Timiș, astfel cum sunt prezentate în Anexa nr.l, ce face parte integrantă din prezenta hotărâre.</w:t>
      </w:r>
    </w:p>
    <w:p w14:paraId="4C722453">
      <w:pPr>
        <w:ind w:firstLine="567"/>
        <w:jc w:val="both"/>
      </w:pPr>
      <w:r>
        <w:t>(2) Se aprobă zonarea teritoriului Comunei Sânpetru Mare, județul Timiș, în conformitate cu prevederile Legii nr.227/2015 privind Codul fiscal, în vederea determinării impozitului/taxei pe clădiri și a impozitului/taxei pe terenul din intravilanul localității, conform anexei 2, parte integrantă din prezenta hotărâre,</w:t>
      </w:r>
    </w:p>
    <w:p w14:paraId="51E85AB2">
      <w:pPr>
        <w:ind w:firstLine="567"/>
        <w:jc w:val="both"/>
      </w:pPr>
      <w:r>
        <w:rPr>
          <w:b/>
          <w:bCs/>
          <w:i/>
          <w:iCs/>
          <w:u w:val="single" w:color="000000"/>
        </w:rPr>
        <w:t>Art.2</w:t>
      </w:r>
      <w:r>
        <w:rPr>
          <w:b/>
          <w:bCs/>
        </w:rPr>
        <w:t>.</w:t>
      </w:r>
      <w:r>
        <w:t xml:space="preserve"> Impozitul/taxa pe clădiri, impozitul/taxa pe teren și impozitul pe mijloacele de transport sunt creanțe fiscal anuale, care se plătesc în două rate egale, până la 31 Martie</w:t>
      </w:r>
      <w:r>
        <w:rPr>
          <w:rFonts w:hint="default"/>
          <w:lang w:val="ro-RO"/>
        </w:rPr>
        <w:t xml:space="preserve"> 2026</w:t>
      </w:r>
      <w:r>
        <w:t xml:space="preserve"> și 30 Septembrie</w:t>
      </w:r>
      <w:r>
        <w:rPr>
          <w:rFonts w:hint="default"/>
          <w:lang w:val="ro-RO"/>
        </w:rPr>
        <w:t xml:space="preserve"> 2026,</w:t>
      </w:r>
      <w:r>
        <w:t xml:space="preserve"> inclusiv. Pentru neplata la termenele enunțate contribuabilii datorează majorări de întârziere stabilite potrivit reglementărilor legale în vigoare.</w:t>
      </w:r>
    </w:p>
    <w:p w14:paraId="59EC30A2">
      <w:pPr>
        <w:ind w:left="38" w:firstLine="583"/>
        <w:jc w:val="both"/>
      </w:pPr>
      <w:r>
        <w:rPr>
          <w:b/>
          <w:bCs/>
          <w:i/>
          <w:iCs/>
          <w:u w:val="single" w:color="000000"/>
        </w:rPr>
        <w:t>Art.3</w:t>
      </w:r>
      <w:r>
        <w:rPr>
          <w:u w:val="single" w:color="000000"/>
        </w:rPr>
        <w:t>.</w:t>
      </w:r>
      <w:r>
        <w:t xml:space="preserve"> Impozitul anual pe clădiri, pe teren, pe mijloacele de transport, datorate aceluiași buget local de către contribuabili, persoane fizice sau juridice, de până la suma de </w:t>
      </w:r>
      <w:r>
        <w:rPr>
          <w:rFonts w:hint="default"/>
          <w:lang w:val="ro-RO"/>
        </w:rPr>
        <w:t>5</w:t>
      </w:r>
      <w:r>
        <w:t xml:space="preserve">0 de lei inclusiv, fiecare, </w:t>
      </w:r>
      <w:r>
        <w:drawing>
          <wp:inline distT="0" distB="0" distL="0" distR="0">
            <wp:extent cx="2540" cy="2540"/>
            <wp:effectExtent l="0" t="0" r="0" b="0"/>
            <wp:docPr id="5808" name="Picture 5808"/>
            <wp:cNvGraphicFramePr/>
            <a:graphic xmlns:a="http://schemas.openxmlformats.org/drawingml/2006/main">
              <a:graphicData uri="http://schemas.openxmlformats.org/drawingml/2006/picture">
                <pic:pic xmlns:pic="http://schemas.openxmlformats.org/drawingml/2006/picture">
                  <pic:nvPicPr>
                    <pic:cNvPr id="5808" name="Picture 5808"/>
                    <pic:cNvPicPr/>
                  </pic:nvPicPr>
                  <pic:blipFill>
                    <a:blip r:embed="rId7"/>
                    <a:stretch>
                      <a:fillRect/>
                    </a:stretch>
                  </pic:blipFill>
                  <pic:spPr>
                    <a:xfrm>
                      <a:off x="0" y="0"/>
                      <a:ext cx="3049" cy="3049"/>
                    </a:xfrm>
                    <a:prstGeom prst="rect">
                      <a:avLst/>
                    </a:prstGeom>
                  </pic:spPr>
                </pic:pic>
              </a:graphicData>
            </a:graphic>
          </wp:inline>
        </w:drawing>
      </w:r>
      <w:r>
        <w:t>se plătește integral până la primul termen de plată.</w:t>
      </w:r>
    </w:p>
    <w:p w14:paraId="5512AC1D">
      <w:pPr>
        <w:ind w:left="38" w:firstLine="583"/>
        <w:jc w:val="both"/>
      </w:pPr>
      <w:r>
        <w:rPr>
          <w:b/>
          <w:bCs/>
          <w:i/>
          <w:iCs/>
          <w:u w:val="single" w:color="000000"/>
        </w:rPr>
        <w:t>Art.4</w:t>
      </w:r>
      <w:r>
        <w:rPr>
          <w:u w:val="single" w:color="000000"/>
        </w:rPr>
        <w:t>.</w:t>
      </w:r>
      <w:r>
        <w:t xml:space="preserve"> În cazul contribuabililor persoane fizice, pentru plata cu anticipație până la 31.03.202</w:t>
      </w:r>
      <w:r>
        <w:rPr>
          <w:rFonts w:hint="default"/>
          <w:lang w:val="ro-RO"/>
        </w:rPr>
        <w:t>6</w:t>
      </w:r>
      <w:r>
        <w:t xml:space="preserve"> a impozitului pe clădiri, a impozitului pe teren și a impozitului pe mijloacele de transport se acordă bonificație în cuantum de 10%.</w:t>
      </w:r>
    </w:p>
    <w:p w14:paraId="4861B8A4">
      <w:pPr>
        <w:ind w:left="38" w:firstLine="583"/>
        <w:jc w:val="both"/>
      </w:pPr>
      <w:r>
        <w:rPr>
          <w:b/>
          <w:bCs/>
          <w:i/>
          <w:iCs/>
          <w:u w:val="single" w:color="000000"/>
        </w:rPr>
        <w:t>Art.5</w:t>
      </w:r>
      <w:r>
        <w:rPr>
          <w:u w:val="single" w:color="000000"/>
        </w:rPr>
        <w:t>.</w:t>
      </w:r>
      <w:r>
        <w:t xml:space="preserve"> Prezenta hotărâre intră în vigoare începând cu data de 01 Ianuarie 202</w:t>
      </w:r>
      <w:r>
        <w:rPr>
          <w:rFonts w:hint="default"/>
          <w:lang w:val="ro-RO"/>
        </w:rPr>
        <w:t>6</w:t>
      </w:r>
      <w:r>
        <w:t>, iar de la această dată, își încetează valabilitatea și aplicabilitatea orice prevedere contrară.</w:t>
      </w:r>
    </w:p>
    <w:p w14:paraId="67F538D4">
      <w:pPr>
        <w:spacing w:after="4" w:line="253" w:lineRule="auto"/>
        <w:ind w:right="91" w:firstLine="561"/>
        <w:jc w:val="both"/>
      </w:pPr>
      <w:r>
        <w:rPr>
          <w:b/>
          <w:bCs/>
          <w:i/>
          <w:iCs/>
          <w:u w:val="single" w:color="000000"/>
        </w:rPr>
        <w:t>Art.6</w:t>
      </w:r>
      <w:r>
        <w:rPr>
          <w:b/>
          <w:bCs/>
          <w:u w:val="single" w:color="000000"/>
        </w:rPr>
        <w:t>.</w:t>
      </w:r>
      <w:r>
        <w:t xml:space="preserve"> Cu punere în aplicare și ducerea la îndeplinire a prevederilor prezentei hotărârii se împuternicește dl. primar al Comunei Sânpetru Mare</w:t>
      </w:r>
      <w:r>
        <w:rPr>
          <w:rFonts w:hint="default"/>
          <w:lang w:val="ro-RO"/>
        </w:rPr>
        <w:t xml:space="preserve"> și compartimentele de specialitate</w:t>
      </w:r>
      <w:r>
        <w:t>.</w:t>
      </w:r>
    </w:p>
    <w:p w14:paraId="454F217F">
      <w:pPr>
        <w:spacing w:line="276" w:lineRule="auto"/>
        <w:ind w:firstLine="567"/>
        <w:jc w:val="both"/>
        <w:rPr>
          <w:kern w:val="24"/>
        </w:rPr>
      </w:pPr>
      <w:r>
        <w:rPr>
          <w:b/>
          <w:i/>
          <w:iCs/>
          <w:kern w:val="24"/>
          <w:u w:val="single"/>
        </w:rPr>
        <w:t>Art.7</w:t>
      </w:r>
      <w:r>
        <w:rPr>
          <w:b/>
          <w:kern w:val="24"/>
          <w:u w:val="single"/>
        </w:rPr>
        <w:t>.</w:t>
      </w:r>
      <w:r>
        <w:rPr>
          <w:b/>
          <w:kern w:val="24"/>
        </w:rPr>
        <w:t xml:space="preserve"> </w:t>
      </w:r>
      <w:r>
        <w:rPr>
          <w:kern w:val="24"/>
        </w:rPr>
        <w:t xml:space="preserve">Prezenta se comunică: </w:t>
      </w:r>
    </w:p>
    <w:p w14:paraId="667D9F75">
      <w:pPr>
        <w:spacing w:line="276" w:lineRule="auto"/>
        <w:ind w:left="284" w:hanging="284"/>
        <w:jc w:val="both"/>
        <w:rPr>
          <w:kern w:val="24"/>
        </w:rPr>
      </w:pPr>
      <w:r>
        <w:rPr>
          <w:kern w:val="24"/>
        </w:rPr>
        <w:t xml:space="preserve">- Instituției Prefectului-Județul Timiș- Serviciul controlul legalității, aplicării actelor cu caracter reparatoriu și contencios administrativ; </w:t>
      </w:r>
    </w:p>
    <w:p w14:paraId="423FB49F">
      <w:pPr>
        <w:spacing w:line="276" w:lineRule="auto"/>
        <w:ind w:left="720" w:hanging="720"/>
        <w:jc w:val="both"/>
        <w:rPr>
          <w:kern w:val="24"/>
        </w:rPr>
      </w:pPr>
      <w:r>
        <w:rPr>
          <w:kern w:val="24"/>
        </w:rPr>
        <w:t xml:space="preserve">- Primarului </w:t>
      </w:r>
      <w:r>
        <w:rPr>
          <w:rFonts w:hint="default"/>
          <w:kern w:val="24"/>
          <w:lang w:val="ro-RO"/>
        </w:rPr>
        <w:t>C</w:t>
      </w:r>
      <w:r>
        <w:rPr>
          <w:kern w:val="24"/>
        </w:rPr>
        <w:t>omunei Sânpetru Mare,</w:t>
      </w:r>
    </w:p>
    <w:p w14:paraId="5857EB8C">
      <w:pPr>
        <w:spacing w:line="276" w:lineRule="auto"/>
        <w:ind w:left="720" w:hanging="720"/>
        <w:jc w:val="both"/>
        <w:rPr>
          <w:kern w:val="24"/>
        </w:rPr>
      </w:pPr>
      <w:r>
        <w:rPr>
          <w:kern w:val="24"/>
        </w:rPr>
        <w:t>- Compartimentul contabilitate din cadrul Primăriei Sânpetru Mare,</w:t>
      </w:r>
    </w:p>
    <w:p w14:paraId="0628EAEE">
      <w:pPr>
        <w:spacing w:line="276" w:lineRule="auto"/>
        <w:jc w:val="both"/>
        <w:rPr>
          <w:bCs/>
          <w:kern w:val="24"/>
        </w:rPr>
      </w:pPr>
      <w:r>
        <w:rPr>
          <w:bCs/>
          <w:kern w:val="24"/>
        </w:rPr>
        <w:t>- la dosarul ședinței,</w:t>
      </w:r>
    </w:p>
    <w:p w14:paraId="4AE266D1">
      <w:pPr>
        <w:spacing w:line="276" w:lineRule="auto"/>
        <w:ind w:left="284" w:hanging="284"/>
        <w:jc w:val="both"/>
        <w:rPr>
          <w:bCs/>
          <w:kern w:val="24"/>
        </w:rPr>
      </w:pPr>
      <w:r>
        <w:rPr>
          <w:bCs/>
          <w:kern w:val="24"/>
        </w:rPr>
        <w:t xml:space="preserve">- se aduce la cunoștință publică prin afișarea la sediul Primăriei, precum și pe site-ul primăriei comunei Sânpetru Mare </w:t>
      </w:r>
      <w:r>
        <w:fldChar w:fldCharType="begin"/>
      </w:r>
      <w:r>
        <w:instrText xml:space="preserve"> HYPERLINK "http://www.primaria.sanpetrumare.ro" </w:instrText>
      </w:r>
      <w:r>
        <w:fldChar w:fldCharType="separate"/>
      </w:r>
      <w:r>
        <w:rPr>
          <w:rStyle w:val="11"/>
          <w:bCs/>
          <w:kern w:val="24"/>
        </w:rPr>
        <w:t>www.primaria.sanpetrumare.ro</w:t>
      </w:r>
      <w:r>
        <w:rPr>
          <w:rStyle w:val="11"/>
          <w:bCs/>
          <w:kern w:val="24"/>
        </w:rPr>
        <w:fldChar w:fldCharType="end"/>
      </w:r>
    </w:p>
    <w:p w14:paraId="333528E8">
      <w:pPr>
        <w:ind w:firstLine="720"/>
        <w:jc w:val="both"/>
        <w:rPr>
          <w:rStyle w:val="26"/>
        </w:rPr>
      </w:pPr>
      <w:r>
        <w:tab/>
      </w:r>
    </w:p>
    <w:p w14:paraId="196F1CFB">
      <w:pPr>
        <w:ind w:firstLine="720"/>
        <w:jc w:val="both"/>
      </w:pPr>
      <w:r>
        <w:t>PREȘEDINTE DE ȘEDINȚĂ;</w:t>
      </w:r>
      <w:r>
        <w:tab/>
      </w:r>
      <w:r>
        <w:tab/>
      </w:r>
      <w:r>
        <w:tab/>
      </w:r>
      <w:r>
        <w:t xml:space="preserve">CONTRASEMNEAZĂ; </w:t>
      </w:r>
    </w:p>
    <w:p w14:paraId="79C90B56">
      <w:pPr>
        <w:ind w:firstLine="720"/>
        <w:jc w:val="both"/>
      </w:pPr>
      <w:r>
        <w:t xml:space="preserve">             CONSILIER,</w:t>
      </w:r>
      <w:r>
        <w:tab/>
      </w:r>
      <w:r>
        <w:tab/>
      </w:r>
      <w:r>
        <w:tab/>
      </w:r>
      <w:r>
        <w:tab/>
      </w:r>
      <w:r>
        <w:t xml:space="preserve">    </w:t>
      </w:r>
      <w:r>
        <w:rPr>
          <w:rFonts w:hint="default"/>
          <w:lang w:val="ro-RO"/>
        </w:rPr>
        <w:t>P. SECRETAR GENERAL</w:t>
      </w:r>
      <w:r>
        <w:t xml:space="preserve"> al UAT,</w:t>
      </w:r>
    </w:p>
    <w:p w14:paraId="05779D69">
      <w:pPr>
        <w:ind w:firstLine="720"/>
        <w:jc w:val="both"/>
      </w:pPr>
      <w:r>
        <w:t xml:space="preserve">  Dimitrie-Cornel CRISTA                                             Georgeta COVACI</w:t>
      </w:r>
    </w:p>
    <w:p w14:paraId="2C9532BC"/>
    <w:p w14:paraId="459BFEAA"/>
    <w:p w14:paraId="74DF2AE5"/>
    <w:p w14:paraId="05314651"/>
    <w:p w14:paraId="3E46D0AE"/>
    <w:p w14:paraId="0E63EA0C"/>
    <w:p w14:paraId="534343D9"/>
    <w:p w14:paraId="4463B89F"/>
    <w:p w14:paraId="3321AA2F">
      <w:pPr>
        <w:spacing w:line="276" w:lineRule="auto"/>
        <w:jc w:val="both"/>
        <w:rPr>
          <w:bCs/>
          <w:i/>
          <w:iCs/>
        </w:rPr>
      </w:pPr>
      <w:r>
        <w:rPr>
          <w:bCs/>
          <w:i/>
          <w:iCs/>
        </w:rPr>
        <w:t>HCL nr.</w:t>
      </w:r>
      <w:r>
        <w:rPr>
          <w:rFonts w:hint="default"/>
          <w:bCs/>
          <w:i/>
          <w:iCs/>
          <w:lang w:val="ro-RO"/>
        </w:rPr>
        <w:t xml:space="preserve">100 </w:t>
      </w:r>
      <w:r>
        <w:rPr>
          <w:bCs/>
          <w:i/>
          <w:iCs/>
        </w:rPr>
        <w:t>din 1</w:t>
      </w:r>
      <w:r>
        <w:rPr>
          <w:rFonts w:hint="default"/>
          <w:bCs/>
          <w:i/>
          <w:iCs/>
          <w:lang w:val="ro-RO"/>
        </w:rPr>
        <w:t>7</w:t>
      </w:r>
      <w:r>
        <w:rPr>
          <w:bCs/>
          <w:i/>
          <w:iCs/>
        </w:rPr>
        <w:t>.12.2024</w:t>
      </w:r>
    </w:p>
    <w:sectPr>
      <w:pgSz w:w="11906" w:h="16838"/>
      <w:pgMar w:top="567" w:right="1134" w:bottom="851" w:left="1440"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ndale Sans UI">
    <w:altName w:val="Calibri"/>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2E6FB2"/>
    <w:multiLevelType w:val="multilevel"/>
    <w:tmpl w:val="222E6FB2"/>
    <w:lvl w:ilvl="0" w:tentative="0">
      <w:start w:val="0"/>
      <w:numFmt w:val="bullet"/>
      <w:lvlText w:val="-"/>
      <w:lvlJc w:val="left"/>
      <w:pPr>
        <w:ind w:left="921" w:hanging="360"/>
      </w:pPr>
      <w:rPr>
        <w:rFonts w:hint="default" w:ascii="Times New Roman" w:hAnsi="Times New Roman" w:eastAsia="Times New Roman" w:cs="Times New Roman"/>
      </w:rPr>
    </w:lvl>
    <w:lvl w:ilvl="1" w:tentative="0">
      <w:start w:val="1"/>
      <w:numFmt w:val="bullet"/>
      <w:lvlText w:val="o"/>
      <w:lvlJc w:val="left"/>
      <w:pPr>
        <w:ind w:left="1641" w:hanging="360"/>
      </w:pPr>
      <w:rPr>
        <w:rFonts w:hint="default" w:ascii="Courier New" w:hAnsi="Courier New" w:cs="Courier New"/>
      </w:rPr>
    </w:lvl>
    <w:lvl w:ilvl="2" w:tentative="0">
      <w:start w:val="1"/>
      <w:numFmt w:val="bullet"/>
      <w:lvlText w:val=""/>
      <w:lvlJc w:val="left"/>
      <w:pPr>
        <w:ind w:left="2361" w:hanging="360"/>
      </w:pPr>
      <w:rPr>
        <w:rFonts w:hint="default" w:ascii="Wingdings" w:hAnsi="Wingdings"/>
      </w:rPr>
    </w:lvl>
    <w:lvl w:ilvl="3" w:tentative="0">
      <w:start w:val="1"/>
      <w:numFmt w:val="bullet"/>
      <w:lvlText w:val=""/>
      <w:lvlJc w:val="left"/>
      <w:pPr>
        <w:ind w:left="3081" w:hanging="360"/>
      </w:pPr>
      <w:rPr>
        <w:rFonts w:hint="default" w:ascii="Symbol" w:hAnsi="Symbol"/>
      </w:rPr>
    </w:lvl>
    <w:lvl w:ilvl="4" w:tentative="0">
      <w:start w:val="1"/>
      <w:numFmt w:val="bullet"/>
      <w:lvlText w:val="o"/>
      <w:lvlJc w:val="left"/>
      <w:pPr>
        <w:ind w:left="3801" w:hanging="360"/>
      </w:pPr>
      <w:rPr>
        <w:rFonts w:hint="default" w:ascii="Courier New" w:hAnsi="Courier New" w:cs="Courier New"/>
      </w:rPr>
    </w:lvl>
    <w:lvl w:ilvl="5" w:tentative="0">
      <w:start w:val="1"/>
      <w:numFmt w:val="bullet"/>
      <w:lvlText w:val=""/>
      <w:lvlJc w:val="left"/>
      <w:pPr>
        <w:ind w:left="4521" w:hanging="360"/>
      </w:pPr>
      <w:rPr>
        <w:rFonts w:hint="default" w:ascii="Wingdings" w:hAnsi="Wingdings"/>
      </w:rPr>
    </w:lvl>
    <w:lvl w:ilvl="6" w:tentative="0">
      <w:start w:val="1"/>
      <w:numFmt w:val="bullet"/>
      <w:lvlText w:val=""/>
      <w:lvlJc w:val="left"/>
      <w:pPr>
        <w:ind w:left="5241" w:hanging="360"/>
      </w:pPr>
      <w:rPr>
        <w:rFonts w:hint="default" w:ascii="Symbol" w:hAnsi="Symbol"/>
      </w:rPr>
    </w:lvl>
    <w:lvl w:ilvl="7" w:tentative="0">
      <w:start w:val="1"/>
      <w:numFmt w:val="bullet"/>
      <w:lvlText w:val="o"/>
      <w:lvlJc w:val="left"/>
      <w:pPr>
        <w:ind w:left="5961" w:hanging="360"/>
      </w:pPr>
      <w:rPr>
        <w:rFonts w:hint="default" w:ascii="Courier New" w:hAnsi="Courier New" w:cs="Courier New"/>
      </w:rPr>
    </w:lvl>
    <w:lvl w:ilvl="8" w:tentative="0">
      <w:start w:val="1"/>
      <w:numFmt w:val="bullet"/>
      <w:lvlText w:val=""/>
      <w:lvlJc w:val="left"/>
      <w:pPr>
        <w:ind w:left="6681"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5C"/>
    <w:rsid w:val="0000708D"/>
    <w:rsid w:val="000326C9"/>
    <w:rsid w:val="0003446D"/>
    <w:rsid w:val="00055472"/>
    <w:rsid w:val="000678BB"/>
    <w:rsid w:val="000879EE"/>
    <w:rsid w:val="00091316"/>
    <w:rsid w:val="000D4B77"/>
    <w:rsid w:val="000E569B"/>
    <w:rsid w:val="000E7790"/>
    <w:rsid w:val="00101E87"/>
    <w:rsid w:val="001064D2"/>
    <w:rsid w:val="0011481F"/>
    <w:rsid w:val="00173F25"/>
    <w:rsid w:val="0019135B"/>
    <w:rsid w:val="00197B12"/>
    <w:rsid w:val="001E58B7"/>
    <w:rsid w:val="001E67BA"/>
    <w:rsid w:val="001E7F2E"/>
    <w:rsid w:val="00212200"/>
    <w:rsid w:val="002204F6"/>
    <w:rsid w:val="00227F44"/>
    <w:rsid w:val="002461C3"/>
    <w:rsid w:val="0025284C"/>
    <w:rsid w:val="00255100"/>
    <w:rsid w:val="0026095E"/>
    <w:rsid w:val="00270873"/>
    <w:rsid w:val="0027694F"/>
    <w:rsid w:val="002D13C5"/>
    <w:rsid w:val="002E769B"/>
    <w:rsid w:val="00321418"/>
    <w:rsid w:val="00342647"/>
    <w:rsid w:val="0035359A"/>
    <w:rsid w:val="00381059"/>
    <w:rsid w:val="003A072B"/>
    <w:rsid w:val="003A3371"/>
    <w:rsid w:val="003C0C35"/>
    <w:rsid w:val="00423DDD"/>
    <w:rsid w:val="004661BD"/>
    <w:rsid w:val="004C2AFA"/>
    <w:rsid w:val="004C4573"/>
    <w:rsid w:val="004C5F05"/>
    <w:rsid w:val="004C70E5"/>
    <w:rsid w:val="004F04AD"/>
    <w:rsid w:val="004F4479"/>
    <w:rsid w:val="00521A74"/>
    <w:rsid w:val="005225EA"/>
    <w:rsid w:val="00550744"/>
    <w:rsid w:val="005962C5"/>
    <w:rsid w:val="00596EAD"/>
    <w:rsid w:val="005A3B4A"/>
    <w:rsid w:val="005A6739"/>
    <w:rsid w:val="005A7144"/>
    <w:rsid w:val="005B653B"/>
    <w:rsid w:val="005C0B7F"/>
    <w:rsid w:val="005D3DF6"/>
    <w:rsid w:val="00633FC3"/>
    <w:rsid w:val="00636A33"/>
    <w:rsid w:val="00640855"/>
    <w:rsid w:val="00646DC2"/>
    <w:rsid w:val="00652E04"/>
    <w:rsid w:val="0067296E"/>
    <w:rsid w:val="00673B8A"/>
    <w:rsid w:val="006776C6"/>
    <w:rsid w:val="006B3705"/>
    <w:rsid w:val="006E65D5"/>
    <w:rsid w:val="006F5053"/>
    <w:rsid w:val="0071706E"/>
    <w:rsid w:val="00717469"/>
    <w:rsid w:val="00725C9A"/>
    <w:rsid w:val="00764981"/>
    <w:rsid w:val="00770BB7"/>
    <w:rsid w:val="0077413E"/>
    <w:rsid w:val="0077798E"/>
    <w:rsid w:val="00777D54"/>
    <w:rsid w:val="007946CA"/>
    <w:rsid w:val="007A6E52"/>
    <w:rsid w:val="007A719F"/>
    <w:rsid w:val="007D4128"/>
    <w:rsid w:val="007D7BAC"/>
    <w:rsid w:val="007F04A4"/>
    <w:rsid w:val="008066D0"/>
    <w:rsid w:val="0082098D"/>
    <w:rsid w:val="0082222D"/>
    <w:rsid w:val="008554DD"/>
    <w:rsid w:val="0087555C"/>
    <w:rsid w:val="00876956"/>
    <w:rsid w:val="00877E14"/>
    <w:rsid w:val="00893940"/>
    <w:rsid w:val="008B3E48"/>
    <w:rsid w:val="008E7721"/>
    <w:rsid w:val="008F565D"/>
    <w:rsid w:val="009447C5"/>
    <w:rsid w:val="0096058F"/>
    <w:rsid w:val="00965C6E"/>
    <w:rsid w:val="00965DEF"/>
    <w:rsid w:val="00967C2D"/>
    <w:rsid w:val="00972115"/>
    <w:rsid w:val="009817C9"/>
    <w:rsid w:val="00983EF5"/>
    <w:rsid w:val="00A07421"/>
    <w:rsid w:val="00A34182"/>
    <w:rsid w:val="00A47B17"/>
    <w:rsid w:val="00A828C7"/>
    <w:rsid w:val="00A86635"/>
    <w:rsid w:val="00A86FF9"/>
    <w:rsid w:val="00A877A4"/>
    <w:rsid w:val="00A94BB2"/>
    <w:rsid w:val="00AB6BFA"/>
    <w:rsid w:val="00AD0A91"/>
    <w:rsid w:val="00B0190F"/>
    <w:rsid w:val="00B234A3"/>
    <w:rsid w:val="00B26AAA"/>
    <w:rsid w:val="00B3485D"/>
    <w:rsid w:val="00B87FC8"/>
    <w:rsid w:val="00B927B6"/>
    <w:rsid w:val="00BA43C1"/>
    <w:rsid w:val="00BA4EFF"/>
    <w:rsid w:val="00BB49C3"/>
    <w:rsid w:val="00BC4FDD"/>
    <w:rsid w:val="00BD443E"/>
    <w:rsid w:val="00BD69C0"/>
    <w:rsid w:val="00BE6546"/>
    <w:rsid w:val="00C00148"/>
    <w:rsid w:val="00C04CCE"/>
    <w:rsid w:val="00C13D20"/>
    <w:rsid w:val="00C2269D"/>
    <w:rsid w:val="00C3229D"/>
    <w:rsid w:val="00C36BC4"/>
    <w:rsid w:val="00C465FD"/>
    <w:rsid w:val="00C52515"/>
    <w:rsid w:val="00C63E6B"/>
    <w:rsid w:val="00C873B2"/>
    <w:rsid w:val="00CA1B51"/>
    <w:rsid w:val="00CB0C3D"/>
    <w:rsid w:val="00CC6E85"/>
    <w:rsid w:val="00CD1E2D"/>
    <w:rsid w:val="00D02CE7"/>
    <w:rsid w:val="00D05FA7"/>
    <w:rsid w:val="00D36B47"/>
    <w:rsid w:val="00D375E7"/>
    <w:rsid w:val="00D45158"/>
    <w:rsid w:val="00D51237"/>
    <w:rsid w:val="00D9057F"/>
    <w:rsid w:val="00DF2DCF"/>
    <w:rsid w:val="00DF3D52"/>
    <w:rsid w:val="00E140A9"/>
    <w:rsid w:val="00E2398C"/>
    <w:rsid w:val="00E37C98"/>
    <w:rsid w:val="00E6237A"/>
    <w:rsid w:val="00E8079E"/>
    <w:rsid w:val="00EC6D5E"/>
    <w:rsid w:val="00EE3165"/>
    <w:rsid w:val="00EE4ABA"/>
    <w:rsid w:val="00EE5C8A"/>
    <w:rsid w:val="00F0391F"/>
    <w:rsid w:val="00F03C4F"/>
    <w:rsid w:val="00F22C59"/>
    <w:rsid w:val="00F23450"/>
    <w:rsid w:val="00F5177E"/>
    <w:rsid w:val="00FA1ACC"/>
    <w:rsid w:val="00FD1E0A"/>
    <w:rsid w:val="00FD2142"/>
    <w:rsid w:val="00FD5717"/>
    <w:rsid w:val="00FE2283"/>
    <w:rsid w:val="00FE5B1F"/>
    <w:rsid w:val="00FF2536"/>
    <w:rsid w:val="00FF4474"/>
    <w:rsid w:val="10AB26C9"/>
    <w:rsid w:val="31F76C3D"/>
    <w:rsid w:val="327F717E"/>
    <w:rsid w:val="56141D44"/>
    <w:rsid w:val="7461442E"/>
    <w:rsid w:val="7DBA7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ro-RO"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Tahoma" w:hAnsi="Tahoma" w:cs="Tahoma"/>
      <w:sz w:val="16"/>
      <w:szCs w:val="16"/>
    </w:rPr>
  </w:style>
  <w:style w:type="paragraph" w:styleId="5">
    <w:name w:val="Body Text"/>
    <w:basedOn w:val="1"/>
    <w:link w:val="16"/>
    <w:qFormat/>
    <w:uiPriority w:val="0"/>
    <w:pPr>
      <w:widowControl w:val="0"/>
      <w:suppressAutoHyphens/>
      <w:spacing w:after="120"/>
    </w:pPr>
    <w:rPr>
      <w:rFonts w:eastAsia="Andale Sans UI"/>
      <w:kern w:val="1"/>
      <w:lang w:val="en-US" w:eastAsia="zh-CN"/>
    </w:rPr>
  </w:style>
  <w:style w:type="paragraph" w:styleId="6">
    <w:name w:val="Body Text 2"/>
    <w:basedOn w:val="1"/>
    <w:link w:val="23"/>
    <w:qFormat/>
    <w:uiPriority w:val="0"/>
    <w:pPr>
      <w:spacing w:after="120" w:line="480" w:lineRule="auto"/>
    </w:pPr>
  </w:style>
  <w:style w:type="paragraph" w:styleId="7">
    <w:name w:val="Body Text Indent"/>
    <w:basedOn w:val="1"/>
    <w:link w:val="27"/>
    <w:uiPriority w:val="0"/>
    <w:pPr>
      <w:widowControl w:val="0"/>
      <w:kinsoku w:val="0"/>
      <w:spacing w:after="120"/>
      <w:ind w:left="283"/>
    </w:pPr>
  </w:style>
  <w:style w:type="paragraph" w:styleId="8">
    <w:name w:val="Body Text Indent 2"/>
    <w:basedOn w:val="1"/>
    <w:link w:val="29"/>
    <w:qFormat/>
    <w:uiPriority w:val="0"/>
    <w:pPr>
      <w:spacing w:after="120" w:line="480" w:lineRule="auto"/>
      <w:ind w:left="283"/>
    </w:pPr>
  </w:style>
  <w:style w:type="paragraph" w:styleId="9">
    <w:name w:val="footer"/>
    <w:basedOn w:val="1"/>
    <w:link w:val="18"/>
    <w:unhideWhenUsed/>
    <w:qFormat/>
    <w:uiPriority w:val="99"/>
    <w:pPr>
      <w:tabs>
        <w:tab w:val="center" w:pos="4680"/>
        <w:tab w:val="right" w:pos="9360"/>
      </w:tabs>
    </w:pPr>
  </w:style>
  <w:style w:type="paragraph" w:styleId="10">
    <w:name w:val="header"/>
    <w:basedOn w:val="1"/>
    <w:link w:val="17"/>
    <w:unhideWhenUsed/>
    <w:qFormat/>
    <w:uiPriority w:val="99"/>
    <w:pPr>
      <w:tabs>
        <w:tab w:val="center" w:pos="4680"/>
        <w:tab w:val="right" w:pos="9360"/>
      </w:tabs>
    </w:pPr>
  </w:style>
  <w:style w:type="character" w:styleId="11">
    <w:name w:val="Hyperlink"/>
    <w:qFormat/>
    <w:uiPriority w:val="0"/>
    <w:rPr>
      <w:color w:val="0000FF"/>
      <w:u w:val="single"/>
    </w:rPr>
  </w:style>
  <w:style w:type="paragraph" w:styleId="12">
    <w:name w:val="Normal (Web)"/>
    <w:basedOn w:val="1"/>
    <w:qFormat/>
    <w:uiPriority w:val="99"/>
    <w:pPr>
      <w:spacing w:before="100" w:beforeAutospacing="1" w:after="100" w:afterAutospacing="1"/>
    </w:pPr>
  </w:style>
  <w:style w:type="character" w:styleId="13">
    <w:name w:val="Strong"/>
    <w:qFormat/>
    <w:uiPriority w:val="0"/>
    <w:rPr>
      <w:b/>
      <w:bCs/>
    </w:rPr>
  </w:style>
  <w:style w:type="character" w:customStyle="1" w:styleId="14">
    <w:name w:val="Text în Balon Caracter"/>
    <w:basedOn w:val="2"/>
    <w:link w:val="4"/>
    <w:semiHidden/>
    <w:uiPriority w:val="99"/>
    <w:rPr>
      <w:rFonts w:ascii="Tahoma" w:hAnsi="Tahoma" w:eastAsia="Times New Roman" w:cs="Tahoma"/>
      <w:sz w:val="16"/>
      <w:szCs w:val="16"/>
      <w:lang w:val="ro-RO" w:eastAsia="ro-RO"/>
    </w:rPr>
  </w:style>
  <w:style w:type="paragraph" w:styleId="15">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16">
    <w:name w:val="Corp text Caracter"/>
    <w:basedOn w:val="2"/>
    <w:link w:val="5"/>
    <w:qFormat/>
    <w:uiPriority w:val="0"/>
    <w:rPr>
      <w:rFonts w:ascii="Times New Roman" w:hAnsi="Times New Roman" w:eastAsia="Andale Sans UI" w:cs="Times New Roman"/>
      <w:kern w:val="1"/>
      <w:sz w:val="24"/>
      <w:szCs w:val="24"/>
      <w:lang w:val="en-US" w:eastAsia="zh-CN"/>
    </w:rPr>
  </w:style>
  <w:style w:type="character" w:customStyle="1" w:styleId="17">
    <w:name w:val="Antet Caracter"/>
    <w:basedOn w:val="2"/>
    <w:link w:val="10"/>
    <w:qFormat/>
    <w:uiPriority w:val="99"/>
    <w:rPr>
      <w:rFonts w:ascii="Times New Roman" w:hAnsi="Times New Roman" w:eastAsia="Times New Roman" w:cs="Times New Roman"/>
      <w:sz w:val="24"/>
      <w:szCs w:val="24"/>
      <w:lang w:val="ro-RO" w:eastAsia="ro-RO"/>
    </w:rPr>
  </w:style>
  <w:style w:type="character" w:customStyle="1" w:styleId="18">
    <w:name w:val="Subsol Caracter"/>
    <w:basedOn w:val="2"/>
    <w:link w:val="9"/>
    <w:qFormat/>
    <w:uiPriority w:val="99"/>
    <w:rPr>
      <w:rFonts w:ascii="Times New Roman" w:hAnsi="Times New Roman" w:eastAsia="Times New Roman" w:cs="Times New Roman"/>
      <w:sz w:val="24"/>
      <w:szCs w:val="24"/>
      <w:lang w:val="ro-RO" w:eastAsia="ro-RO"/>
    </w:rPr>
  </w:style>
  <w:style w:type="character" w:customStyle="1" w:styleId="19">
    <w:name w:val="s_aln"/>
    <w:qFormat/>
    <w:uiPriority w:val="0"/>
  </w:style>
  <w:style w:type="character" w:customStyle="1" w:styleId="20">
    <w:name w:val="s_aln_bdy"/>
    <w:qFormat/>
    <w:uiPriority w:val="0"/>
  </w:style>
  <w:style w:type="character" w:customStyle="1" w:styleId="21">
    <w:name w:val="s_lit_bdy"/>
    <w:qFormat/>
    <w:uiPriority w:val="0"/>
  </w:style>
  <w:style w:type="character" w:customStyle="1" w:styleId="22">
    <w:name w:val="s_aln_ttl"/>
    <w:qFormat/>
    <w:uiPriority w:val="0"/>
  </w:style>
  <w:style w:type="character" w:customStyle="1" w:styleId="23">
    <w:name w:val="Corp text 2 Caracter"/>
    <w:basedOn w:val="2"/>
    <w:link w:val="6"/>
    <w:qFormat/>
    <w:uiPriority w:val="0"/>
    <w:rPr>
      <w:rFonts w:ascii="Times New Roman" w:hAnsi="Times New Roman" w:eastAsia="Times New Roman" w:cs="Times New Roman"/>
      <w:sz w:val="24"/>
      <w:szCs w:val="24"/>
      <w:lang w:val="ro-RO" w:eastAsia="ro-RO"/>
    </w:rPr>
  </w:style>
  <w:style w:type="character" w:customStyle="1" w:styleId="24">
    <w:name w:val="Unresolved Mention"/>
    <w:basedOn w:val="2"/>
    <w:semiHidden/>
    <w:unhideWhenUsed/>
    <w:qFormat/>
    <w:uiPriority w:val="99"/>
    <w:rPr>
      <w:color w:val="605E5C"/>
      <w:shd w:val="clear" w:color="auto" w:fill="E1DFDD"/>
    </w:rPr>
  </w:style>
  <w:style w:type="paragraph" w:customStyle="1" w:styleId="25">
    <w:name w:val="Char Caracter Char Caracter Char Char Caracter Char Char Caracter Caracter Caracter Caracter"/>
    <w:basedOn w:val="1"/>
    <w:qFormat/>
    <w:uiPriority w:val="0"/>
    <w:rPr>
      <w:rFonts w:ascii="Arial" w:hAnsi="Arial"/>
      <w:lang w:val="pl-PL" w:eastAsia="pl-PL"/>
    </w:rPr>
  </w:style>
  <w:style w:type="character" w:customStyle="1" w:styleId="26">
    <w:name w:val="rezumat_1"/>
    <w:qFormat/>
    <w:uiPriority w:val="0"/>
  </w:style>
  <w:style w:type="character" w:customStyle="1" w:styleId="27">
    <w:name w:val="Indent corp text Caracter"/>
    <w:basedOn w:val="2"/>
    <w:link w:val="7"/>
    <w:qFormat/>
    <w:uiPriority w:val="0"/>
    <w:rPr>
      <w:rFonts w:ascii="Times New Roman" w:hAnsi="Times New Roman" w:eastAsia="Times New Roman" w:cs="Times New Roman"/>
      <w:sz w:val="24"/>
      <w:szCs w:val="24"/>
      <w:lang w:val="ro-RO" w:eastAsia="ro-RO"/>
    </w:rPr>
  </w:style>
  <w:style w:type="paragraph" w:styleId="28">
    <w:name w:val="No Spacing"/>
    <w:qFormat/>
    <w:uiPriority w:val="1"/>
    <w:pPr>
      <w:spacing w:after="0" w:line="240" w:lineRule="auto"/>
    </w:pPr>
    <w:rPr>
      <w:rFonts w:ascii="Times New Roman" w:hAnsi="Times New Roman" w:eastAsia="Times New Roman" w:cs="Times New Roman"/>
      <w:sz w:val="24"/>
      <w:szCs w:val="24"/>
      <w:lang w:val="ro-RO" w:eastAsia="ro-RO" w:bidi="ar-SA"/>
    </w:rPr>
  </w:style>
  <w:style w:type="character" w:customStyle="1" w:styleId="29">
    <w:name w:val="Indent corp text 2 Caracter"/>
    <w:basedOn w:val="2"/>
    <w:link w:val="8"/>
    <w:qFormat/>
    <w:uiPriority w:val="0"/>
    <w:rPr>
      <w:rFonts w:ascii="Times New Roman" w:hAnsi="Times New Roman" w:eastAsia="Times New Roman" w:cs="Times New Roman"/>
      <w:sz w:val="24"/>
      <w:szCs w:val="24"/>
      <w:lang w:val="ro-RO" w:eastAsia="ro-RO"/>
    </w:rPr>
  </w:style>
  <w:style w:type="paragraph" w:customStyle="1" w:styleId="30">
    <w:name w:val="WW-Default"/>
    <w:qFormat/>
    <w:uiPriority w:val="0"/>
    <w:pPr>
      <w:suppressAutoHyphens/>
      <w:autoSpaceDE w:val="0"/>
      <w:spacing w:after="0" w:line="240" w:lineRule="auto"/>
    </w:pPr>
    <w:rPr>
      <w:rFonts w:ascii="Times New Roman" w:hAnsi="Times New Roman" w:eastAsia="Arial" w:cs="Times New Roman"/>
      <w:color w:val="000000"/>
      <w:sz w:val="24"/>
      <w:szCs w:val="24"/>
      <w:lang w:val="en-US" w:eastAsia="ar-S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950</Words>
  <Characters>5512</Characters>
  <Lines>45</Lines>
  <Paragraphs>12</Paragraphs>
  <TotalTime>1</TotalTime>
  <ScaleCrop>false</ScaleCrop>
  <LinksUpToDate>false</LinksUpToDate>
  <CharactersWithSpaces>6450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2024-02-15T11:41:00Z</dcterms:created>
  <dc:creator>Secretar-PC</dc:creator>
  <cp:lastModifiedBy>dalic</cp:lastModifiedBy>
  <cp:lastPrinted>2025-12-17T13:45:00Z</cp:lastPrinted>
  <dcterms:modified xsi:type="dcterms:W3CDTF">2025-12-17T17:39:31Z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1033-12.2.0.23158</vt:lpwstr>
  </property>
  <property fmtid="{D5CDD505-2E9C-101B-9397-08002B2CF9AE}" pid="3" name="ICV">
    <vt:lpwstr>4B3162FC1EED4F99B2439F09C2BA24A1_12</vt:lpwstr>
  </property>
</Properties>
</file>