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2563CA9F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5D3DF6">
        <w:rPr>
          <w:b/>
          <w:lang w:val="fr-FR"/>
        </w:rPr>
        <w:t>3</w:t>
      </w:r>
    </w:p>
    <w:p w14:paraId="1318F793" w14:textId="264CFC5F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5D3DF6">
        <w:rPr>
          <w:b/>
          <w:lang w:val="fr-FR"/>
        </w:rPr>
        <w:t>3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proofErr w:type="gramStart"/>
      <w:r w:rsidR="00BD69C0">
        <w:rPr>
          <w:b/>
          <w:lang w:val="fr-FR"/>
        </w:rPr>
        <w:t>Împotrivă</w:t>
      </w:r>
      <w:proofErr w:type="spellEnd"/>
      <w:r w:rsidR="00BD69C0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608BD21D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proofErr w:type="gramStart"/>
      <w:r w:rsidR="00673B8A">
        <w:rPr>
          <w:b/>
          <w:lang w:val="fr-FR"/>
        </w:rPr>
        <w:t>Abţineri</w:t>
      </w:r>
      <w:proofErr w:type="spellEnd"/>
      <w:r w:rsidR="00673B8A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5D3DF6">
        <w:rPr>
          <w:b/>
          <w:lang w:val="fr-FR"/>
        </w:rPr>
        <w:t>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BD7DB64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423DDD">
        <w:rPr>
          <w:b/>
          <w:bCs/>
          <w:w w:val="105"/>
          <w:sz w:val="28"/>
          <w:szCs w:val="28"/>
        </w:rPr>
        <w:t>27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5D3DF6">
        <w:rPr>
          <w:b/>
          <w:bCs/>
          <w:w w:val="105"/>
          <w:sz w:val="28"/>
          <w:szCs w:val="28"/>
        </w:rPr>
        <w:t>7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5D3DF6">
        <w:rPr>
          <w:b/>
          <w:bCs/>
          <w:w w:val="105"/>
          <w:sz w:val="28"/>
          <w:szCs w:val="28"/>
        </w:rPr>
        <w:t>6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73DF265" w14:textId="77777777" w:rsidR="005D3DF6" w:rsidRDefault="005D3DF6" w:rsidP="00764981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 xml:space="preserve">privind aprobarea documentația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-economică, a devizului general actualizat și a indicatorilor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>-economici actualizați, pentru obiectivul de investiții ”SISTEM DE CANALIZARE MENAJERĂ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58A15B6B" w14:textId="77777777" w:rsidR="00227F44" w:rsidRDefault="00227F44" w:rsidP="00972115">
      <w:pPr>
        <w:rPr>
          <w:bCs/>
          <w:w w:val="105"/>
        </w:rPr>
      </w:pP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58C2B3D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5D3DF6">
        <w:rPr>
          <w:b/>
          <w:kern w:val="24"/>
        </w:rPr>
        <w:t>7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5D3DF6">
        <w:rPr>
          <w:b/>
          <w:kern w:val="24"/>
        </w:rPr>
        <w:t>6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C47DB7" w:rsidRDefault="005D3DF6" w:rsidP="005D3DF6">
      <w:pPr>
        <w:tabs>
          <w:tab w:val="left" w:pos="709"/>
        </w:tabs>
        <w:ind w:firstLine="567"/>
        <w:jc w:val="both"/>
        <w:rPr>
          <w:i/>
          <w:kern w:val="24"/>
        </w:rPr>
      </w:pPr>
      <w:r w:rsidRPr="00C47DB7">
        <w:rPr>
          <w:i/>
          <w:kern w:val="24"/>
          <w:u w:val="single"/>
        </w:rPr>
        <w:t>Având în vedere</w:t>
      </w:r>
      <w:r w:rsidRPr="00C47DB7">
        <w:rPr>
          <w:i/>
          <w:kern w:val="24"/>
        </w:rPr>
        <w:t>:</w:t>
      </w:r>
    </w:p>
    <w:p w14:paraId="3913F2EC" w14:textId="7FB77078" w:rsidR="005D3DF6" w:rsidRPr="00C47DB7" w:rsidRDefault="005D3DF6" w:rsidP="00764981">
      <w:pPr>
        <w:pStyle w:val="NormalWeb"/>
        <w:spacing w:before="0" w:beforeAutospacing="0" w:after="0" w:afterAutospacing="0"/>
        <w:ind w:firstLine="567"/>
        <w:jc w:val="both"/>
        <w:rPr>
          <w:kern w:val="24"/>
        </w:rPr>
      </w:pPr>
      <w:r w:rsidRPr="00C47DB7">
        <w:rPr>
          <w:kern w:val="24"/>
        </w:rPr>
        <w:t>- Referatul de aprobare nr.</w:t>
      </w:r>
      <w:r>
        <w:rPr>
          <w:kern w:val="24"/>
        </w:rPr>
        <w:t>3190</w:t>
      </w:r>
      <w:r w:rsidRPr="00C47DB7">
        <w:rPr>
          <w:kern w:val="24"/>
        </w:rPr>
        <w:t xml:space="preserve"> din </w:t>
      </w:r>
      <w:r>
        <w:rPr>
          <w:kern w:val="24"/>
        </w:rPr>
        <w:t>20</w:t>
      </w:r>
      <w:r w:rsidRPr="00C47DB7">
        <w:rPr>
          <w:kern w:val="24"/>
        </w:rPr>
        <w:t>.06.2024</w:t>
      </w:r>
      <w:r w:rsidRPr="00C47DB7">
        <w:rPr>
          <w:bCs/>
          <w:color w:val="000000"/>
          <w:kern w:val="24"/>
        </w:rPr>
        <w:t>, al</w:t>
      </w:r>
      <w:r w:rsidRPr="00C47DB7">
        <w:rPr>
          <w:kern w:val="24"/>
        </w:rPr>
        <w:t xml:space="preserve"> dlui. Viceprimar cu atribuții de primar al comunei Sânpetru Mare</w:t>
      </w:r>
      <w:r w:rsidR="00764981">
        <w:rPr>
          <w:kern w:val="24"/>
        </w:rPr>
        <w:t>,</w:t>
      </w:r>
      <w:r w:rsidRPr="00C47DB7">
        <w:rPr>
          <w:kern w:val="24"/>
        </w:rPr>
        <w:t xml:space="preserve"> în calitate de inițiator al proiectului </w:t>
      </w:r>
      <w:r w:rsidR="00764981">
        <w:rPr>
          <w:kern w:val="24"/>
        </w:rPr>
        <w:t xml:space="preserve">și </w:t>
      </w:r>
      <w:r w:rsidRPr="00C47DB7">
        <w:rPr>
          <w:kern w:val="24"/>
        </w:rPr>
        <w:t>Raport de specialitate nr.</w:t>
      </w:r>
      <w:r>
        <w:rPr>
          <w:kern w:val="24"/>
        </w:rPr>
        <w:t>3189</w:t>
      </w:r>
      <w:r w:rsidRPr="00C47DB7">
        <w:rPr>
          <w:kern w:val="24"/>
        </w:rPr>
        <w:t xml:space="preserve"> din </w:t>
      </w:r>
      <w:r>
        <w:rPr>
          <w:kern w:val="24"/>
        </w:rPr>
        <w:t>20</w:t>
      </w:r>
      <w:r w:rsidRPr="00C47DB7">
        <w:rPr>
          <w:kern w:val="24"/>
        </w:rPr>
        <w:t xml:space="preserve">.06.2024 al Consilierului personal al primarului din cadrul Primăriei Comunei Sânpetru Mare, </w:t>
      </w:r>
    </w:p>
    <w:p w14:paraId="4D5B204D" w14:textId="77777777" w:rsidR="005D3DF6" w:rsidRPr="00C47DB7" w:rsidRDefault="005D3DF6" w:rsidP="005D3DF6">
      <w:pPr>
        <w:pStyle w:val="Listparagra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color w:val="000000"/>
          <w:kern w:val="24"/>
          <w:sz w:val="24"/>
          <w:szCs w:val="24"/>
        </w:rPr>
      </w:pPr>
      <w:r w:rsidRPr="00C47DB7">
        <w:rPr>
          <w:rFonts w:ascii="Times New Roman" w:hAnsi="Times New Roman" w:cs="Times New Roman"/>
          <w:kern w:val="24"/>
          <w:sz w:val="24"/>
          <w:szCs w:val="24"/>
        </w:rPr>
        <w:t xml:space="preserve">- Hotărârea nr.3 din 20.01.2023 a Consiliul local Sânpetru Mare, privind aprobarea studiul de fezabilitate, indicatorii </w:t>
      </w:r>
      <w:proofErr w:type="spellStart"/>
      <w:r w:rsidRPr="00C47DB7">
        <w:rPr>
          <w:rFonts w:ascii="Times New Roman" w:hAnsi="Times New Roman" w:cs="Times New Roman"/>
          <w:kern w:val="24"/>
          <w:sz w:val="24"/>
          <w:szCs w:val="24"/>
        </w:rPr>
        <w:t>tehnico</w:t>
      </w:r>
      <w:proofErr w:type="spellEnd"/>
      <w:r w:rsidRPr="00C47DB7">
        <w:rPr>
          <w:rFonts w:ascii="Times New Roman" w:hAnsi="Times New Roman" w:cs="Times New Roman"/>
          <w:kern w:val="24"/>
          <w:sz w:val="24"/>
          <w:szCs w:val="24"/>
        </w:rPr>
        <w:t xml:space="preserve">-economici inițiali și actualizați, Devizul general inițial și actualizat și contribuția de la bugetul local pentru obiectivul </w:t>
      </w:r>
      <w:r w:rsidRPr="00C47DB7">
        <w:rPr>
          <w:rFonts w:ascii="Times New Roman" w:hAnsi="Times New Roman" w:cs="Times New Roman"/>
          <w:i/>
          <w:iCs/>
          <w:kern w:val="24"/>
          <w:sz w:val="24"/>
          <w:szCs w:val="24"/>
        </w:rPr>
        <w:t>”SISTEM DE CANALIZARE MENAJERĂ ÎN LOCALITATEA IGRIȘ, COMUNA SÂNPETRU MARE, JUDEȚUL TIMIȘ”</w:t>
      </w:r>
      <w:r w:rsidRPr="00C47DB7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BF2F846" w14:textId="017FCA8A" w:rsidR="005D3DF6" w:rsidRDefault="005D3DF6" w:rsidP="005D3DF6">
      <w:pPr>
        <w:ind w:right="-1" w:firstLine="708"/>
        <w:jc w:val="both"/>
        <w:rPr>
          <w:rFonts w:eastAsia="Arial"/>
          <w:color w:val="000000"/>
          <w:kern w:val="24"/>
        </w:rPr>
      </w:pPr>
      <w:r w:rsidRPr="00C47DB7">
        <w:rPr>
          <w:kern w:val="24"/>
        </w:rPr>
        <w:t xml:space="preserve">- </w:t>
      </w:r>
      <w:r>
        <w:rPr>
          <w:kern w:val="24"/>
        </w:rPr>
        <w:t xml:space="preserve">Documentația </w:t>
      </w:r>
      <w:proofErr w:type="spellStart"/>
      <w:r>
        <w:rPr>
          <w:kern w:val="24"/>
        </w:rPr>
        <w:t>tehnico</w:t>
      </w:r>
      <w:proofErr w:type="spellEnd"/>
      <w:r>
        <w:rPr>
          <w:kern w:val="24"/>
        </w:rPr>
        <w:t xml:space="preserve">-economică, </w:t>
      </w:r>
      <w:r w:rsidRPr="00C47DB7">
        <w:rPr>
          <w:kern w:val="24"/>
        </w:rPr>
        <w:t xml:space="preserve">Deviz general </w:t>
      </w:r>
      <w:r w:rsidRPr="00C47DB7">
        <w:rPr>
          <w:iCs/>
          <w:kern w:val="24"/>
        </w:rPr>
        <w:t>întocmit de f</w:t>
      </w:r>
      <w:r w:rsidRPr="00C47DB7">
        <w:rPr>
          <w:kern w:val="24"/>
        </w:rPr>
        <w:t xml:space="preserve">irma de </w:t>
      </w:r>
      <w:r w:rsidR="00DF2DCF">
        <w:rPr>
          <w:kern w:val="24"/>
        </w:rPr>
        <w:t>proiectare</w:t>
      </w:r>
      <w:r w:rsidRPr="00C47DB7">
        <w:rPr>
          <w:kern w:val="24"/>
        </w:rPr>
        <w:t xml:space="preserve"> </w:t>
      </w:r>
      <w:r w:rsidRPr="00C47DB7">
        <w:rPr>
          <w:rFonts w:eastAsia="Arial"/>
          <w:color w:val="000000"/>
          <w:kern w:val="24"/>
        </w:rPr>
        <w:t>EUROENGINEERING TIMIȘOARA SRL, anexa nr.2.1.</w:t>
      </w:r>
      <w:r w:rsidR="00764981">
        <w:rPr>
          <w:rFonts w:eastAsia="Arial"/>
          <w:color w:val="000000"/>
          <w:kern w:val="24"/>
        </w:rPr>
        <w:t xml:space="preserve"> actualizat</w:t>
      </w:r>
      <w:r w:rsidRPr="00C47DB7">
        <w:rPr>
          <w:rFonts w:eastAsia="Arial"/>
          <w:color w:val="000000"/>
          <w:kern w:val="24"/>
        </w:rPr>
        <w:t xml:space="preserve"> cât și caracteristicile principale și indicatorii </w:t>
      </w:r>
      <w:proofErr w:type="spellStart"/>
      <w:r w:rsidRPr="00C47DB7">
        <w:rPr>
          <w:rFonts w:eastAsia="Arial"/>
          <w:color w:val="000000"/>
          <w:kern w:val="24"/>
        </w:rPr>
        <w:t>tehnico</w:t>
      </w:r>
      <w:proofErr w:type="spellEnd"/>
      <w:r w:rsidRPr="00C47DB7">
        <w:rPr>
          <w:rFonts w:eastAsia="Arial"/>
          <w:color w:val="000000"/>
          <w:kern w:val="24"/>
        </w:rPr>
        <w:t xml:space="preserve">-economici ai obiectivului de investiții, anexa 2.2 b. </w:t>
      </w:r>
      <w:r w:rsidR="00764981">
        <w:rPr>
          <w:rFonts w:eastAsia="Arial"/>
          <w:color w:val="000000"/>
          <w:kern w:val="24"/>
        </w:rPr>
        <w:t>actualizat.</w:t>
      </w:r>
    </w:p>
    <w:p w14:paraId="10715ED5" w14:textId="4EBA4D92" w:rsidR="00967C2D" w:rsidRPr="00241687" w:rsidRDefault="00967C2D" w:rsidP="00967C2D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241687">
        <w:rPr>
          <w:rFonts w:eastAsia="Calibri"/>
          <w:lang w:eastAsia="ar-SA"/>
        </w:rPr>
        <w:t xml:space="preserve">- </w:t>
      </w:r>
      <w:r>
        <w:rPr>
          <w:rFonts w:eastAsia="Calibri"/>
          <w:lang w:eastAsia="ar-SA"/>
        </w:rPr>
        <w:t>A</w:t>
      </w:r>
      <w:r w:rsidRPr="00241687">
        <w:rPr>
          <w:rFonts w:eastAsia="Calibri"/>
          <w:lang w:eastAsia="ar-SA"/>
        </w:rPr>
        <w:t>vizul</w:t>
      </w:r>
      <w:r>
        <w:rPr>
          <w:rFonts w:eastAsia="Calibri"/>
          <w:lang w:eastAsia="ar-SA"/>
        </w:rPr>
        <w:t xml:space="preserve"> favorabil al</w:t>
      </w:r>
      <w:r w:rsidRPr="00241687">
        <w:rPr>
          <w:rFonts w:eastAsia="Calibri"/>
          <w:lang w:eastAsia="ar-SA"/>
        </w:rPr>
        <w:t xml:space="preserve"> comisi</w:t>
      </w:r>
      <w:r>
        <w:rPr>
          <w:rFonts w:eastAsia="Calibri"/>
          <w:lang w:eastAsia="ar-SA"/>
        </w:rPr>
        <w:t>e</w:t>
      </w:r>
      <w:r w:rsidRPr="00241687">
        <w:rPr>
          <w:rFonts w:eastAsia="Calibri"/>
          <w:lang w:eastAsia="ar-SA"/>
        </w:rPr>
        <w:t xml:space="preserve">i de specialitate al Consiliului Local al Comunei </w:t>
      </w:r>
      <w:r w:rsidRPr="00241687">
        <w:t>Sânpetru Mare</w:t>
      </w:r>
      <w:r w:rsidRPr="00241687">
        <w:rPr>
          <w:rFonts w:eastAsia="Calibri"/>
          <w:lang w:eastAsia="ar-SA"/>
        </w:rPr>
        <w:t>,</w:t>
      </w:r>
      <w:r w:rsidRPr="00241687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241687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241687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C47DB7" w:rsidRDefault="005D3DF6" w:rsidP="005D3DF6">
      <w:pPr>
        <w:tabs>
          <w:tab w:val="left" w:pos="567"/>
        </w:tabs>
        <w:ind w:firstLine="567"/>
        <w:jc w:val="both"/>
        <w:rPr>
          <w:i/>
          <w:kern w:val="24"/>
        </w:rPr>
      </w:pPr>
      <w:r w:rsidRPr="00C47DB7">
        <w:rPr>
          <w:i/>
          <w:iCs/>
          <w:kern w:val="24"/>
          <w:u w:val="single"/>
        </w:rPr>
        <w:t>În conformitate cu prevederile</w:t>
      </w:r>
      <w:r w:rsidRPr="00C47DB7">
        <w:rPr>
          <w:i/>
          <w:kern w:val="24"/>
        </w:rPr>
        <w:t>:</w:t>
      </w:r>
    </w:p>
    <w:p w14:paraId="63476806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Ordinul nr. 1333/2021 privind aprobarea Normelor metodologice pentru punerea în aplicare a prevederilor Ordonanței de urgență a Guvernului nr.95/2021 pentru aprobarea Programului național de investiții „Anghel Saligny", pentru categoriile de investiții prevazute la art. 4 alin. (l) lit. a)-d) din Ordonanța de urgență a Guvernului nr. 95/2021;</w:t>
      </w:r>
    </w:p>
    <w:p w14:paraId="3D846C8E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C47DB7" w:rsidRDefault="005D3DF6" w:rsidP="005D3DF6">
      <w:pPr>
        <w:ind w:left="284" w:right="9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>Legii nr.273/2006 privind finanțele publice locale, cu modificarile și completarile ulterioare;</w:t>
      </w:r>
    </w:p>
    <w:p w14:paraId="2D881FFA" w14:textId="11B0CDA0" w:rsidR="005D3DF6" w:rsidRDefault="005D3DF6" w:rsidP="00764981">
      <w:pPr>
        <w:pStyle w:val="Corptext"/>
        <w:ind w:left="284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 xml:space="preserve">art.129 alin.(2), lit.b) și </w:t>
      </w:r>
      <w:r>
        <w:rPr>
          <w:kern w:val="24"/>
          <w:lang w:val="pt-BR"/>
        </w:rPr>
        <w:t>alin.(4) lit.</w:t>
      </w:r>
      <w:r w:rsidR="00521A74">
        <w:rPr>
          <w:kern w:val="24"/>
          <w:lang w:val="pt-BR"/>
        </w:rPr>
        <w:t>g</w:t>
      </w:r>
      <w:r w:rsidRPr="00C47DB7">
        <w:rPr>
          <w:kern w:val="24"/>
          <w:lang w:val="pt-BR"/>
        </w:rPr>
        <w:t>) din Ordonanţa de Urgenţă a Guvernului nr.57/2019</w:t>
      </w:r>
      <w:r w:rsidR="00764981">
        <w:rPr>
          <w:kern w:val="24"/>
          <w:lang w:val="pt-BR"/>
        </w:rPr>
        <w:t>,</w:t>
      </w:r>
      <w:r w:rsidRPr="00C47DB7">
        <w:rPr>
          <w:kern w:val="24"/>
          <w:lang w:val="pt-BR"/>
        </w:rPr>
        <w:t xml:space="preserve"> privind Codul Administrativ;</w:t>
      </w:r>
    </w:p>
    <w:p w14:paraId="3147EAA5" w14:textId="77777777" w:rsidR="00764981" w:rsidRPr="00C47DB7" w:rsidRDefault="00764981" w:rsidP="00764981">
      <w:pPr>
        <w:pStyle w:val="Corptext"/>
        <w:ind w:left="284" w:hanging="284"/>
        <w:jc w:val="both"/>
        <w:rPr>
          <w:kern w:val="24"/>
          <w:lang w:val="pt-BR"/>
        </w:rPr>
      </w:pPr>
    </w:p>
    <w:p w14:paraId="4D3DF2C4" w14:textId="5CDA696D" w:rsidR="00B26AAA" w:rsidRPr="0011481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lastRenderedPageBreak/>
        <w:t xml:space="preserve">În temeiul prevederilor </w:t>
      </w:r>
      <w:r w:rsidR="003A3371" w:rsidRPr="0011481F">
        <w:rPr>
          <w:color w:val="000000"/>
        </w:rPr>
        <w:t xml:space="preserve">art.129, alin.(1) și (2), litera (c) și alin.6 lit.(c), </w:t>
      </w:r>
      <w:r w:rsidRPr="0011481F">
        <w:t xml:space="preserve">art.136, art.139 alin.(3), art.196, alin.1, </w:t>
      </w:r>
      <w:proofErr w:type="spellStart"/>
      <w:r w:rsidRPr="0011481F">
        <w:t>lit.a</w:t>
      </w:r>
      <w:proofErr w:type="spellEnd"/>
      <w:r w:rsidRPr="0011481F">
        <w:t>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5D252A87" w14:textId="77777777" w:rsidR="005D3DF6" w:rsidRPr="00D06D32" w:rsidRDefault="005D3DF6" w:rsidP="005D3DF6">
      <w:pPr>
        <w:ind w:left="38" w:right="9" w:firstLine="529"/>
        <w:jc w:val="both"/>
      </w:pPr>
      <w:bookmarkStart w:id="2" w:name="_Hlk169521122"/>
      <w:r w:rsidRPr="00D06D32">
        <w:rPr>
          <w:b/>
          <w:bCs/>
        </w:rPr>
        <w:t>Art.1.</w:t>
      </w:r>
      <w:r w:rsidRPr="00D06D32">
        <w:t xml:space="preserve"> Se aprobă documentația </w:t>
      </w:r>
      <w:proofErr w:type="spellStart"/>
      <w:r w:rsidRPr="00D06D32">
        <w:t>tehnico</w:t>
      </w:r>
      <w:proofErr w:type="spellEnd"/>
      <w:r w:rsidRPr="00D06D32">
        <w:t>-economică — la faza DTAC+PTH</w:t>
      </w:r>
      <w:r>
        <w:t>,</w:t>
      </w:r>
      <w:r w:rsidRPr="00D06D32">
        <w:t xml:space="preserve"> pentru obiectivul de investiții </w:t>
      </w:r>
      <w:r>
        <w:t>”</w:t>
      </w:r>
      <w:r w:rsidRPr="00D06D32">
        <w:t>SISTEM DE CANALIZARE MENAJERA ÎN LOCALITATEA IGRIS, COMUNA SÂNPETRU MARE, JUDEȚUL TIMIȘ" aprobat pentru finanțare prin Programul național de investiții „Anghel Saligny” prin ordin al ministrului dezvoltării, lucrărilor publice și</w:t>
      </w:r>
      <w:r>
        <w:t xml:space="preserve"> </w:t>
      </w:r>
      <w:r w:rsidRPr="00D06D32">
        <w:rPr>
          <w:rFonts w:eastAsia="Calibri"/>
        </w:rPr>
        <w:t>administra</w:t>
      </w:r>
      <w:r>
        <w:rPr>
          <w:rFonts w:eastAsia="Calibri"/>
        </w:rPr>
        <w:t>ț</w:t>
      </w:r>
      <w:r w:rsidRPr="00D06D32">
        <w:rPr>
          <w:rFonts w:eastAsia="Calibri"/>
        </w:rPr>
        <w:t>iei, întocmită de SC EUROENGINEERING TIMISOARA SRL, înregistrată la Comuna S</w:t>
      </w:r>
      <w:r>
        <w:rPr>
          <w:rFonts w:eastAsia="Calibri"/>
        </w:rPr>
        <w:t>â</w:t>
      </w:r>
      <w:r w:rsidRPr="00D06D32">
        <w:rPr>
          <w:rFonts w:eastAsia="Calibri"/>
        </w:rPr>
        <w:t>npetru Mare cu nr</w:t>
      </w:r>
      <w:r>
        <w:rPr>
          <w:noProof/>
        </w:rPr>
        <w:t>.3203/2024.</w:t>
      </w:r>
    </w:p>
    <w:p w14:paraId="75DD7659" w14:textId="25EC451A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Art.2</w:t>
      </w:r>
      <w:r w:rsidRPr="00D06D32">
        <w:rPr>
          <w:rFonts w:eastAsia="Calibri"/>
          <w:lang w:val="pt-BR"/>
        </w:rPr>
        <w:t>. Se aprobă devizul general actualizat aferent obiectivului de investiții ”SISTEM DE CANALIZARE MENAJERA ÎN LOCALITATEA IGRIS, COMUNA SÂNPETRU MARE, JUDEȚUL TIMIȘ” conform anexei nr.</w:t>
      </w:r>
      <w:r w:rsidR="00764981">
        <w:rPr>
          <w:rFonts w:eastAsia="Calibri"/>
          <w:lang w:val="pt-BR"/>
        </w:rPr>
        <w:t>2.1 - Actualizată,</w:t>
      </w:r>
      <w:r w:rsidRPr="00D06D32">
        <w:rPr>
          <w:rFonts w:eastAsia="Calibri"/>
          <w:lang w:val="pt-BR"/>
        </w:rPr>
        <w:t xml:space="preserve"> la prezenta hotărâre.</w:t>
      </w:r>
      <w:r w:rsidR="00764981">
        <w:rPr>
          <w:rFonts w:eastAsia="Calibri"/>
          <w:lang w:val="pt-BR"/>
        </w:rPr>
        <w:t xml:space="preserve"> </w:t>
      </w:r>
    </w:p>
    <w:p w14:paraId="4C123775" w14:textId="1846B038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Art.3</w:t>
      </w:r>
      <w:r w:rsidRPr="00D06D32">
        <w:rPr>
          <w:rFonts w:eastAsia="Calibri"/>
          <w:lang w:val="pt-BR"/>
        </w:rPr>
        <w:t>. Se aprobă indicatorii tehnico-economici /actualizarea indicatorilor tehnico-economici aferenți obiectivului de investiții ”SISTEM DE CANALIZARE MENAJERA ÎN LOCALITATEA IGRIS, COMUNA SANPETRU MARE, JUDEȚUL TIMIS” conform anexei nr.2.2.b-Actualizata</w:t>
      </w:r>
      <w:r w:rsidR="00764981">
        <w:rPr>
          <w:rFonts w:eastAsia="Calibri"/>
          <w:lang w:val="pt-BR"/>
        </w:rPr>
        <w:t>,</w:t>
      </w:r>
      <w:r w:rsidR="00764981" w:rsidRPr="00764981">
        <w:rPr>
          <w:rFonts w:eastAsia="Calibri"/>
          <w:lang w:val="pt-BR"/>
        </w:rPr>
        <w:t xml:space="preserve"> </w:t>
      </w:r>
      <w:r w:rsidR="00764981" w:rsidRPr="00D06D32">
        <w:rPr>
          <w:rFonts w:eastAsia="Calibri"/>
          <w:lang w:val="pt-BR"/>
        </w:rPr>
        <w:t>la prezenta hotărâre.</w:t>
      </w:r>
    </w:p>
    <w:p w14:paraId="71E6588B" w14:textId="77777777" w:rsidR="005D3DF6" w:rsidRPr="00D06D32" w:rsidRDefault="005D3DF6" w:rsidP="005D3DF6">
      <w:pPr>
        <w:ind w:left="23" w:right="4" w:firstLine="529"/>
        <w:jc w:val="both"/>
        <w:rPr>
          <w:lang w:val="pt-BR"/>
        </w:rPr>
      </w:pPr>
      <w:r w:rsidRPr="00D06D32">
        <w:rPr>
          <w:rFonts w:eastAsia="Calibri"/>
          <w:b/>
          <w:bCs/>
          <w:lang w:val="pt-BR"/>
        </w:rPr>
        <w:t>Art.4.</w:t>
      </w:r>
      <w:r w:rsidRPr="00D06D32">
        <w:rPr>
          <w:rFonts w:eastAsia="Calibri"/>
          <w:lang w:val="pt-BR"/>
        </w:rPr>
        <w:t xml:space="preserve"> Se aprobă finanțarea de la bugetul local al Comunei Sanpetru Mare, a sumei de </w:t>
      </w:r>
      <w:r w:rsidRPr="00764981">
        <w:rPr>
          <w:rFonts w:eastAsia="Calibri"/>
          <w:b/>
          <w:bCs/>
          <w:lang w:val="pt-BR"/>
        </w:rPr>
        <w:t>1705872,28</w:t>
      </w:r>
      <w:r w:rsidRPr="00D06D32">
        <w:rPr>
          <w:rFonts w:eastAsia="Calibri"/>
          <w:lang w:val="pt-BR"/>
        </w:rPr>
        <w:t xml:space="preserve"> lei (inclusiv TVA), reprezentând categoriile de cheltuieli finanțate de la bugetul local conform prevederilor art.4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alin. (6) din Normele metodologice pentru punerea în aplicare a prevederilor Ordonanței de urgență a Guvernului nr.95/2021 pentru aprobarea Programului național de investiții </w:t>
      </w:r>
      <w:r>
        <w:rPr>
          <w:rFonts w:eastAsia="Calibri"/>
          <w:vertAlign w:val="superscript"/>
          <w:lang w:val="pt-BR"/>
        </w:rPr>
        <w:t>”</w:t>
      </w:r>
      <w:r w:rsidRPr="00D06D32">
        <w:rPr>
          <w:rFonts w:eastAsia="Calibri"/>
          <w:lang w:val="pt-BR"/>
        </w:rPr>
        <w:t>Anghel Saligny", pentru categoriile de investiții prevăzute la art.4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alin. (l)</w:t>
      </w:r>
      <w:r>
        <w:rPr>
          <w:rFonts w:eastAsia="Calibri"/>
          <w:lang w:val="pt-BR"/>
        </w:rPr>
        <w:t>,</w:t>
      </w:r>
      <w:r w:rsidRPr="00D06D32">
        <w:rPr>
          <w:rFonts w:eastAsia="Calibri"/>
          <w:lang w:val="pt-BR"/>
        </w:rPr>
        <w:t xml:space="preserve"> lit. a)-d) din Ordonanța de urgență a Guvernului nr.95/2021, aprobate prin Ordinul ministrului dezvoltării, lucrărilor publice și administrației nr. 1333/2021.</w:t>
      </w:r>
    </w:p>
    <w:p w14:paraId="2CDFD2EB" w14:textId="2AFF67C1" w:rsidR="005D3DF6" w:rsidRPr="009A280C" w:rsidRDefault="005D3DF6" w:rsidP="005D3DF6">
      <w:pPr>
        <w:ind w:left="23" w:right="4" w:firstLine="529"/>
        <w:jc w:val="both"/>
        <w:rPr>
          <w:lang w:val="pt-BR"/>
        </w:rPr>
      </w:pPr>
      <w:r w:rsidRPr="009A280C">
        <w:rPr>
          <w:rFonts w:eastAsia="Calibri"/>
          <w:b/>
          <w:bCs/>
          <w:lang w:val="pt-BR"/>
        </w:rPr>
        <w:t>Art.5.</w:t>
      </w:r>
      <w:r w:rsidRPr="009A280C">
        <w:rPr>
          <w:rFonts w:eastAsia="Calibri"/>
          <w:lang w:val="pt-BR"/>
        </w:rPr>
        <w:t xml:space="preserve"> Anex</w:t>
      </w:r>
      <w:r w:rsidR="00764981">
        <w:rPr>
          <w:rFonts w:eastAsia="Calibri"/>
          <w:lang w:val="pt-BR"/>
        </w:rPr>
        <w:t>a</w:t>
      </w:r>
      <w:r w:rsidRPr="009A280C">
        <w:rPr>
          <w:rFonts w:eastAsia="Calibri"/>
          <w:lang w:val="pt-BR"/>
        </w:rPr>
        <w:t xml:space="preserve"> 2.</w:t>
      </w:r>
      <w:r>
        <w:rPr>
          <w:rFonts w:eastAsia="Calibri"/>
          <w:lang w:val="pt-BR"/>
        </w:rPr>
        <w:t xml:space="preserve">1 </w:t>
      </w:r>
      <w:r w:rsidRPr="009A280C">
        <w:rPr>
          <w:rFonts w:eastAsia="Calibri"/>
          <w:lang w:val="pt-BR"/>
        </w:rPr>
        <w:t>-Actualizata și Anexa 2.2</w:t>
      </w:r>
      <w:r>
        <w:rPr>
          <w:rFonts w:eastAsia="Calibri"/>
          <w:lang w:val="pt-BR"/>
        </w:rPr>
        <w:t xml:space="preserve"> b </w:t>
      </w:r>
      <w:r w:rsidRPr="009A280C">
        <w:rPr>
          <w:rFonts w:eastAsia="Calibri"/>
          <w:lang w:val="pt-BR"/>
        </w:rPr>
        <w:t>-Actualizata</w:t>
      </w:r>
      <w:r w:rsidR="00764981">
        <w:rPr>
          <w:rFonts w:eastAsia="Calibri"/>
          <w:lang w:val="pt-BR"/>
        </w:rPr>
        <w:t>,</w:t>
      </w:r>
      <w:r w:rsidRPr="009A280C">
        <w:rPr>
          <w:rFonts w:eastAsia="Calibri"/>
          <w:lang w:val="pt-BR"/>
        </w:rPr>
        <w:t xml:space="preserve"> fac parte integrantă din prezenta hotărâre.</w:t>
      </w:r>
    </w:p>
    <w:bookmarkEnd w:id="2"/>
    <w:p w14:paraId="21AB561E" w14:textId="77777777" w:rsidR="005D3DF6" w:rsidRPr="009A280C" w:rsidRDefault="005D3DF6" w:rsidP="005D3DF6">
      <w:pPr>
        <w:spacing w:line="276" w:lineRule="auto"/>
        <w:ind w:firstLine="567"/>
        <w:jc w:val="both"/>
      </w:pPr>
      <w:r w:rsidRPr="009A280C">
        <w:rPr>
          <w:b/>
          <w:bCs/>
          <w:u w:val="single"/>
        </w:rPr>
        <w:t>Art.</w:t>
      </w:r>
      <w:r>
        <w:rPr>
          <w:b/>
          <w:bCs/>
          <w:u w:val="single"/>
        </w:rPr>
        <w:t>6</w:t>
      </w:r>
      <w:r w:rsidRPr="009A280C">
        <w:rPr>
          <w:b/>
          <w:bCs/>
          <w:u w:val="single"/>
        </w:rPr>
        <w:t>.</w:t>
      </w:r>
      <w:r w:rsidRPr="009A280C">
        <w:t xml:space="preserve"> Viceprimarul cu atribuții de primar al Comunei Sânpetru Mare, prin aparatul de specialitate, va lua masurile de ducere la îndeplinire a prevederilor prezentei hotărâri.</w:t>
      </w:r>
    </w:p>
    <w:p w14:paraId="454F217F" w14:textId="77777777" w:rsidR="00764981" w:rsidRPr="00690FE3" w:rsidRDefault="00764981" w:rsidP="00764981">
      <w:pPr>
        <w:spacing w:line="276" w:lineRule="auto"/>
        <w:ind w:firstLine="567"/>
        <w:jc w:val="both"/>
        <w:rPr>
          <w:kern w:val="24"/>
        </w:rPr>
      </w:pPr>
      <w:r w:rsidRPr="00690FE3">
        <w:rPr>
          <w:b/>
          <w:kern w:val="24"/>
          <w:u w:val="single"/>
        </w:rPr>
        <w:t>Art.5.</w:t>
      </w:r>
      <w:r w:rsidRPr="00690FE3">
        <w:rPr>
          <w:b/>
          <w:kern w:val="24"/>
        </w:rPr>
        <w:t xml:space="preserve"> </w:t>
      </w:r>
      <w:r w:rsidRPr="00690FE3">
        <w:rPr>
          <w:kern w:val="24"/>
        </w:rPr>
        <w:t xml:space="preserve">Prezenta se comunică: </w:t>
      </w:r>
    </w:p>
    <w:p w14:paraId="667D9F75" w14:textId="0060626A" w:rsidR="00D02CE7" w:rsidRPr="0011481F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Pr="0011481F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11481F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20D45A53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A84530">
        <w:t>Dragan</w:t>
      </w:r>
      <w:proofErr w:type="spellEnd"/>
      <w:r w:rsidR="00A84530">
        <w:t xml:space="preserve"> TOSITY</w:t>
      </w:r>
      <w:r>
        <w:tab/>
      </w:r>
      <w:r>
        <w:tab/>
      </w:r>
      <w:r>
        <w:tab/>
        <w:t xml:space="preserve"> </w:t>
      </w:r>
      <w:r w:rsidR="00A84530">
        <w:tab/>
      </w:r>
      <w:r>
        <w:t xml:space="preserve">             </w:t>
      </w:r>
      <w:r w:rsidR="00A84530">
        <w:t xml:space="preserve">   </w:t>
      </w:r>
      <w:r>
        <w:t xml:space="preserve"> </w:t>
      </w:r>
      <w:r w:rsidR="005D3DF6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321AA2F" w14:textId="209F58E2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B234A3">
        <w:rPr>
          <w:bCs/>
          <w:i/>
          <w:iCs/>
        </w:rPr>
        <w:t>27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D3DF6">
        <w:rPr>
          <w:bCs/>
          <w:i/>
          <w:iCs/>
        </w:rPr>
        <w:t>7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D3DF6">
        <w:rPr>
          <w:bCs/>
          <w:i/>
          <w:iCs/>
        </w:rPr>
        <w:t>6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4F6B" w14:textId="77777777" w:rsidR="005446E9" w:rsidRDefault="005446E9" w:rsidP="007A6E52">
      <w:r>
        <w:separator/>
      </w:r>
    </w:p>
  </w:endnote>
  <w:endnote w:type="continuationSeparator" w:id="0">
    <w:p w14:paraId="742DB1E4" w14:textId="77777777" w:rsidR="005446E9" w:rsidRDefault="005446E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E174C" w14:textId="77777777" w:rsidR="005446E9" w:rsidRDefault="005446E9" w:rsidP="007A6E52">
      <w:r>
        <w:separator/>
      </w:r>
    </w:p>
  </w:footnote>
  <w:footnote w:type="continuationSeparator" w:id="0">
    <w:p w14:paraId="05F30312" w14:textId="77777777" w:rsidR="005446E9" w:rsidRDefault="005446E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6"/>
  </w:num>
  <w:num w:numId="17" w16cid:durableId="1359087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446E9"/>
    <w:rsid w:val="00550744"/>
    <w:rsid w:val="005962C5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17469"/>
    <w:rsid w:val="00725C9A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67C2D"/>
    <w:rsid w:val="00972115"/>
    <w:rsid w:val="009817C9"/>
    <w:rsid w:val="00983EF5"/>
    <w:rsid w:val="00A07421"/>
    <w:rsid w:val="00A34182"/>
    <w:rsid w:val="00A828C7"/>
    <w:rsid w:val="00A84530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229D"/>
    <w:rsid w:val="00C36BC4"/>
    <w:rsid w:val="00C465FD"/>
    <w:rsid w:val="00C63E6B"/>
    <w:rsid w:val="00C96CF7"/>
    <w:rsid w:val="00CA1B51"/>
    <w:rsid w:val="00CB0C3D"/>
    <w:rsid w:val="00CC6E85"/>
    <w:rsid w:val="00CD1E2D"/>
    <w:rsid w:val="00D02CE7"/>
    <w:rsid w:val="00D05FA7"/>
    <w:rsid w:val="00D36B47"/>
    <w:rsid w:val="00D375E7"/>
    <w:rsid w:val="00D51237"/>
    <w:rsid w:val="00D9057F"/>
    <w:rsid w:val="00DF2DCF"/>
    <w:rsid w:val="00DF3D52"/>
    <w:rsid w:val="00E140A9"/>
    <w:rsid w:val="00E2398C"/>
    <w:rsid w:val="00E37C98"/>
    <w:rsid w:val="00E6237A"/>
    <w:rsid w:val="00E8079E"/>
    <w:rsid w:val="00EE3165"/>
    <w:rsid w:val="00EE4ABA"/>
    <w:rsid w:val="00EE5C8A"/>
    <w:rsid w:val="00F0391F"/>
    <w:rsid w:val="00F22C59"/>
    <w:rsid w:val="00F5177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28</cp:revision>
  <cp:lastPrinted>2024-06-25T08:17:00Z</cp:lastPrinted>
  <dcterms:created xsi:type="dcterms:W3CDTF">2024-02-15T11:41:00Z</dcterms:created>
  <dcterms:modified xsi:type="dcterms:W3CDTF">2024-06-28T10:40:00Z</dcterms:modified>
</cp:coreProperties>
</file>